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1A9B1F" w14:textId="77777777" w:rsidR="00666003" w:rsidRPr="00CF30E6" w:rsidRDefault="005E2A6E">
      <w:pPr>
        <w:spacing w:before="240" w:after="240"/>
        <w:rPr>
          <w:b/>
          <w:bCs/>
          <w:sz w:val="28"/>
          <w:szCs w:val="28"/>
          <w:lang w:val="pl-PL"/>
        </w:rPr>
      </w:pPr>
      <w:r w:rsidRPr="00CF30E6">
        <w:rPr>
          <w:b/>
          <w:bCs/>
          <w:sz w:val="28"/>
          <w:szCs w:val="28"/>
          <w:lang w:val="pl-PL"/>
        </w:rPr>
        <w:t>Gdy algorytm zmyśla przepisy. Ryzyka AI i granice odpowiedzialności w praktyce prawniczej</w:t>
      </w:r>
    </w:p>
    <w:p w14:paraId="6EBDCB8D" w14:textId="77777777" w:rsidR="00666003" w:rsidRPr="00CF30E6" w:rsidRDefault="00666003">
      <w:pPr>
        <w:rPr>
          <w:b/>
          <w:bCs/>
          <w:sz w:val="20"/>
          <w:szCs w:val="20"/>
          <w:lang w:val="pl-PL"/>
        </w:rPr>
      </w:pPr>
    </w:p>
    <w:p w14:paraId="0236D185" w14:textId="6E48C146" w:rsidR="00666003" w:rsidRPr="00CF30E6" w:rsidRDefault="005E2A6E">
      <w:pPr>
        <w:spacing w:before="240" w:after="240"/>
        <w:jc w:val="both"/>
        <w:rPr>
          <w:rFonts w:ascii="Arial" w:eastAsia="Arial" w:hAnsi="Arial" w:cs="Arial"/>
          <w:b/>
          <w:bCs/>
          <w:lang w:val="pl-PL"/>
        </w:rPr>
      </w:pPr>
      <w:r w:rsidRPr="00CF30E6">
        <w:rPr>
          <w:rFonts w:ascii="Arial" w:eastAsia="Arial" w:hAnsi="Arial" w:cs="Arial"/>
          <w:b/>
          <w:bCs/>
          <w:lang w:val="pl-PL"/>
        </w:rPr>
        <w:t xml:space="preserve">Wykorzystanie generatywnej sztucznej inteligencji w praktyce prawniczej rośnie, ale wraz z tym pojawiają się nowe zagrożenia – od halucynacji modeli językowych po ryzyka związane z ochroną danych. O tym, dlaczego nie należy bezkrytycznie ufać odpowiedziom </w:t>
      </w:r>
      <w:r w:rsidRPr="00CF30E6">
        <w:rPr>
          <w:rFonts w:ascii="Arial" w:eastAsia="Arial" w:hAnsi="Arial" w:cs="Arial"/>
          <w:b/>
          <w:bCs/>
          <w:lang w:val="pl-PL"/>
        </w:rPr>
        <w:t xml:space="preserve">AI mówi dr Agnieszka Skorupka, adwokat, </w:t>
      </w:r>
      <w:r w:rsidRPr="00CF30E6">
        <w:rPr>
          <w:rFonts w:ascii="Arial" w:eastAsia="Arial" w:hAnsi="Arial" w:cs="Arial"/>
          <w:b/>
          <w:bCs/>
          <w:lang w:val="pl-PL"/>
        </w:rPr>
        <w:t>Wydział Prawa i Komunikacji Społecznej we Wrocławiu Uniwersytetu SWPS.</w:t>
      </w:r>
    </w:p>
    <w:p w14:paraId="0C108102" w14:textId="77777777" w:rsidR="00666003" w:rsidRPr="00CF30E6" w:rsidRDefault="005E2A6E">
      <w:pPr>
        <w:spacing w:before="240" w:after="240" w:line="300" w:lineRule="auto"/>
        <w:jc w:val="both"/>
        <w:rPr>
          <w:lang w:val="pl-PL"/>
        </w:rPr>
      </w:pPr>
      <w:r w:rsidRPr="00CF30E6">
        <w:rPr>
          <w:sz w:val="20"/>
          <w:szCs w:val="20"/>
          <w:lang w:val="pl-PL"/>
        </w:rPr>
        <w:t xml:space="preserve">Powszechny dostęp do dużych modeli językowych (ang. </w:t>
      </w:r>
      <w:proofErr w:type="spellStart"/>
      <w:r w:rsidRPr="00CF30E6">
        <w:rPr>
          <w:sz w:val="20"/>
          <w:szCs w:val="20"/>
          <w:lang w:val="pl-PL"/>
        </w:rPr>
        <w:t>large</w:t>
      </w:r>
      <w:proofErr w:type="spellEnd"/>
      <w:r w:rsidRPr="00CF30E6">
        <w:rPr>
          <w:sz w:val="20"/>
          <w:szCs w:val="20"/>
          <w:lang w:val="pl-PL"/>
        </w:rPr>
        <w:t xml:space="preserve"> </w:t>
      </w:r>
      <w:proofErr w:type="spellStart"/>
      <w:r w:rsidRPr="00CF30E6">
        <w:rPr>
          <w:sz w:val="20"/>
          <w:szCs w:val="20"/>
          <w:lang w:val="pl-PL"/>
        </w:rPr>
        <w:t>language</w:t>
      </w:r>
      <w:proofErr w:type="spellEnd"/>
      <w:r w:rsidRPr="00CF30E6">
        <w:rPr>
          <w:sz w:val="20"/>
          <w:szCs w:val="20"/>
          <w:lang w:val="pl-PL"/>
        </w:rPr>
        <w:t xml:space="preserve"> model, LLM) zmienił sposób, w jaki środowisko prawnicze podchodzi do technolo</w:t>
      </w:r>
      <w:r w:rsidRPr="00CF30E6">
        <w:rPr>
          <w:sz w:val="20"/>
          <w:szCs w:val="20"/>
          <w:lang w:val="pl-PL"/>
        </w:rPr>
        <w:t xml:space="preserve">gii cyfrowych. Momentem przełomowym stało się uruchomienie </w:t>
      </w:r>
      <w:proofErr w:type="spellStart"/>
      <w:r w:rsidRPr="00CF30E6">
        <w:rPr>
          <w:sz w:val="20"/>
          <w:szCs w:val="20"/>
          <w:lang w:val="pl-PL"/>
        </w:rPr>
        <w:t>ChatGPT</w:t>
      </w:r>
      <w:proofErr w:type="spellEnd"/>
      <w:r w:rsidRPr="00CF30E6">
        <w:rPr>
          <w:sz w:val="20"/>
          <w:szCs w:val="20"/>
          <w:lang w:val="pl-PL"/>
        </w:rPr>
        <w:t xml:space="preserve">, który zadebiutował na rynku w listopadzie 2022 roku. Od tego czasu pojawiało się wiele ogólnodostępnych </w:t>
      </w:r>
      <w:proofErr w:type="spellStart"/>
      <w:r w:rsidRPr="00CF30E6">
        <w:rPr>
          <w:sz w:val="20"/>
          <w:szCs w:val="20"/>
          <w:lang w:val="pl-PL"/>
        </w:rPr>
        <w:t>chatbotów</w:t>
      </w:r>
      <w:proofErr w:type="spellEnd"/>
      <w:r w:rsidRPr="00CF30E6">
        <w:rPr>
          <w:sz w:val="20"/>
          <w:szCs w:val="20"/>
          <w:lang w:val="pl-PL"/>
        </w:rPr>
        <w:t xml:space="preserve"> (bezpłatnych lub w wersji płatnej), które dają każdemu użytkownikowi dostę</w:t>
      </w:r>
      <w:r w:rsidRPr="00CF30E6">
        <w:rPr>
          <w:sz w:val="20"/>
          <w:szCs w:val="20"/>
          <w:lang w:val="pl-PL"/>
        </w:rPr>
        <w:t>p do narzędzi analizy i tworzenia tekstu.</w:t>
      </w:r>
    </w:p>
    <w:p w14:paraId="7031EB37" w14:textId="4EA1B6BE" w:rsidR="00666003" w:rsidRPr="00CF30E6" w:rsidRDefault="005E2A6E">
      <w:pPr>
        <w:widowControl/>
        <w:spacing w:line="300" w:lineRule="auto"/>
        <w:jc w:val="both"/>
        <w:rPr>
          <w:sz w:val="20"/>
          <w:szCs w:val="20"/>
          <w:lang w:val="pl-PL"/>
        </w:rPr>
      </w:pPr>
      <w:r w:rsidRPr="00CF30E6">
        <w:rPr>
          <w:sz w:val="20"/>
          <w:szCs w:val="20"/>
          <w:lang w:val="pl-PL"/>
        </w:rPr>
        <w:t>– Polscy prawnicy, nie czekając na ogólne zalecenia, wytyczne czy standardy, niezależnie od tego, czy są adwokatami, radcami prawnymi czy sędziami, zaczęli wprowadzać narzędzia AI do swojej codziennej praktyki, aby</w:t>
      </w:r>
      <w:r w:rsidRPr="00CF30E6">
        <w:rPr>
          <w:sz w:val="20"/>
          <w:szCs w:val="20"/>
          <w:lang w:val="pl-PL"/>
        </w:rPr>
        <w:t xml:space="preserve"> zwiększyć wydajność pracy. Prawnicy wykorzystują ogólnodostępne </w:t>
      </w:r>
      <w:proofErr w:type="spellStart"/>
      <w:r w:rsidRPr="00CF30E6">
        <w:rPr>
          <w:sz w:val="20"/>
          <w:szCs w:val="20"/>
          <w:lang w:val="pl-PL"/>
        </w:rPr>
        <w:t>chatboty</w:t>
      </w:r>
      <w:proofErr w:type="spellEnd"/>
      <w:r w:rsidRPr="00CF30E6">
        <w:rPr>
          <w:sz w:val="20"/>
          <w:szCs w:val="20"/>
          <w:lang w:val="pl-PL"/>
        </w:rPr>
        <w:t xml:space="preserve"> m.in. do analizy dokumentów, tworzenia projektów pism i opinii, tłumaczenia tekstów, korekty językowej i stylistycznej oraz wyszukiwania orzecznictwa – zauważa dr Agnieszka Skorupka,</w:t>
      </w:r>
      <w:r w:rsidRPr="00CF30E6">
        <w:rPr>
          <w:sz w:val="20"/>
          <w:szCs w:val="20"/>
          <w:lang w:val="pl-PL"/>
        </w:rPr>
        <w:t xml:space="preserve"> adwokat,</w:t>
      </w:r>
      <w:r w:rsidR="00CF30E6">
        <w:rPr>
          <w:sz w:val="20"/>
          <w:szCs w:val="20"/>
          <w:lang w:val="pl-PL"/>
        </w:rPr>
        <w:t xml:space="preserve"> </w:t>
      </w:r>
      <w:r w:rsidRPr="00CF30E6">
        <w:rPr>
          <w:sz w:val="20"/>
          <w:szCs w:val="20"/>
          <w:lang w:val="pl-PL"/>
        </w:rPr>
        <w:t>Wydział Prawa i Komunikacji Społecznej we Wrocławiu Uniwersytetu SWPS.</w:t>
      </w:r>
    </w:p>
    <w:p w14:paraId="4619845F" w14:textId="77777777" w:rsidR="00666003" w:rsidRPr="00CF30E6" w:rsidRDefault="00666003">
      <w:pPr>
        <w:widowControl/>
        <w:spacing w:line="300" w:lineRule="auto"/>
        <w:jc w:val="both"/>
        <w:rPr>
          <w:sz w:val="20"/>
          <w:szCs w:val="20"/>
          <w:lang w:val="pl-PL"/>
        </w:rPr>
      </w:pPr>
    </w:p>
    <w:p w14:paraId="5BF814B1" w14:textId="77777777" w:rsidR="00666003" w:rsidRPr="00CF30E6" w:rsidRDefault="005E2A6E">
      <w:pPr>
        <w:widowControl/>
        <w:spacing w:line="300" w:lineRule="auto"/>
        <w:jc w:val="both"/>
        <w:rPr>
          <w:sz w:val="20"/>
          <w:szCs w:val="20"/>
          <w:lang w:val="pl-PL"/>
        </w:rPr>
      </w:pPr>
      <w:r w:rsidRPr="00CF30E6">
        <w:rPr>
          <w:sz w:val="20"/>
          <w:szCs w:val="20"/>
          <w:lang w:val="pl-PL"/>
        </w:rPr>
        <w:t>Potwierdzeniem częstego korzystania z narzędzia AI przez prawników są wyniki raportu “</w:t>
      </w:r>
      <w:proofErr w:type="spellStart"/>
      <w:r w:rsidRPr="00CF30E6">
        <w:rPr>
          <w:sz w:val="20"/>
          <w:szCs w:val="20"/>
          <w:lang w:val="pl-PL"/>
        </w:rPr>
        <w:t>Future</w:t>
      </w:r>
      <w:proofErr w:type="spellEnd"/>
      <w:r w:rsidRPr="00CF30E6">
        <w:rPr>
          <w:sz w:val="20"/>
          <w:szCs w:val="20"/>
          <w:lang w:val="pl-PL"/>
        </w:rPr>
        <w:t xml:space="preserve"> </w:t>
      </w:r>
      <w:proofErr w:type="spellStart"/>
      <w:r w:rsidRPr="00CF30E6">
        <w:rPr>
          <w:sz w:val="20"/>
          <w:szCs w:val="20"/>
          <w:lang w:val="pl-PL"/>
        </w:rPr>
        <w:t>Ready</w:t>
      </w:r>
      <w:proofErr w:type="spellEnd"/>
      <w:r w:rsidRPr="00CF30E6">
        <w:rPr>
          <w:sz w:val="20"/>
          <w:szCs w:val="20"/>
          <w:lang w:val="pl-PL"/>
        </w:rPr>
        <w:t xml:space="preserve"> </w:t>
      </w:r>
      <w:proofErr w:type="spellStart"/>
      <w:r w:rsidRPr="00CF30E6">
        <w:rPr>
          <w:sz w:val="20"/>
          <w:szCs w:val="20"/>
          <w:lang w:val="pl-PL"/>
        </w:rPr>
        <w:t>Lawyer</w:t>
      </w:r>
      <w:proofErr w:type="spellEnd"/>
      <w:r w:rsidRPr="00CF30E6">
        <w:rPr>
          <w:sz w:val="20"/>
          <w:szCs w:val="20"/>
          <w:lang w:val="pl-PL"/>
        </w:rPr>
        <w:t xml:space="preserve"> 2024” przygotowanego przez Wolters Kluwer. Zgodnie z badaniami 76 pr</w:t>
      </w:r>
      <w:r w:rsidRPr="00CF30E6">
        <w:rPr>
          <w:sz w:val="20"/>
          <w:szCs w:val="20"/>
          <w:lang w:val="pl-PL"/>
        </w:rPr>
        <w:t xml:space="preserve">oc. prawników z działów prawnych i 68 proc. prawników z kancelarii prawnych korzysta z generatywnej sztucznej inteligencji przynajmniej raz w tygodniu (przy czym 35 proc. prawników z działów prawnych i 33 proc. prawników z kancelarii </w:t>
      </w:r>
      <w:r w:rsidRPr="00CF30E6">
        <w:rPr>
          <w:sz w:val="20"/>
          <w:szCs w:val="20"/>
          <w:lang w:val="pl-PL"/>
        </w:rPr>
        <w:lastRenderedPageBreak/>
        <w:t>robi to codziennie)</w:t>
      </w:r>
      <w:r w:rsidRPr="00CF30E6">
        <w:rPr>
          <w:sz w:val="20"/>
          <w:szCs w:val="20"/>
          <w:vertAlign w:val="superscript"/>
          <w:lang w:val="pl-PL"/>
        </w:rPr>
        <w:footnoteReference w:id="1"/>
      </w:r>
      <w:r w:rsidRPr="00CF30E6">
        <w:rPr>
          <w:sz w:val="20"/>
          <w:szCs w:val="20"/>
          <w:lang w:val="pl-PL"/>
        </w:rPr>
        <w:t>.</w:t>
      </w:r>
      <w:r w:rsidRPr="00CF30E6">
        <w:rPr>
          <w:sz w:val="20"/>
          <w:szCs w:val="20"/>
          <w:lang w:val="pl-PL"/>
        </w:rPr>
        <w:t xml:space="preserve"> Ekspertka zauważa, że choć badanie “</w:t>
      </w:r>
      <w:proofErr w:type="spellStart"/>
      <w:r w:rsidRPr="00CF30E6">
        <w:rPr>
          <w:sz w:val="20"/>
          <w:szCs w:val="20"/>
          <w:lang w:val="pl-PL"/>
        </w:rPr>
        <w:t>Future</w:t>
      </w:r>
      <w:proofErr w:type="spellEnd"/>
      <w:r w:rsidRPr="00CF30E6">
        <w:rPr>
          <w:sz w:val="20"/>
          <w:szCs w:val="20"/>
          <w:lang w:val="pl-PL"/>
        </w:rPr>
        <w:t xml:space="preserve"> </w:t>
      </w:r>
      <w:proofErr w:type="spellStart"/>
      <w:r w:rsidRPr="00CF30E6">
        <w:rPr>
          <w:sz w:val="20"/>
          <w:szCs w:val="20"/>
          <w:lang w:val="pl-PL"/>
        </w:rPr>
        <w:t>Ready</w:t>
      </w:r>
      <w:proofErr w:type="spellEnd"/>
      <w:r w:rsidRPr="00CF30E6">
        <w:rPr>
          <w:sz w:val="20"/>
          <w:szCs w:val="20"/>
          <w:lang w:val="pl-PL"/>
        </w:rPr>
        <w:t xml:space="preserve"> </w:t>
      </w:r>
      <w:proofErr w:type="spellStart"/>
      <w:r w:rsidRPr="00CF30E6">
        <w:rPr>
          <w:sz w:val="20"/>
          <w:szCs w:val="20"/>
          <w:lang w:val="pl-PL"/>
        </w:rPr>
        <w:t>Lawyer</w:t>
      </w:r>
      <w:proofErr w:type="spellEnd"/>
      <w:r w:rsidRPr="00CF30E6">
        <w:rPr>
          <w:sz w:val="20"/>
          <w:szCs w:val="20"/>
          <w:lang w:val="pl-PL"/>
        </w:rPr>
        <w:t xml:space="preserve"> 2024” nie jest najnowsze, to dostarcza ważnych wniosków, ponieważ dokumentuje skalę wykorzystania generatywnej AI przez prawników w okresie, gdy narzędzia te dopiero wchodziły do powszechnego użytku </w:t>
      </w:r>
      <w:r w:rsidRPr="00CF30E6">
        <w:rPr>
          <w:sz w:val="20"/>
          <w:szCs w:val="20"/>
          <w:lang w:val="pl-PL"/>
        </w:rPr>
        <w:t xml:space="preserve">w branży prawniczej. Warto podkreślić, że wykorzystywanie narzędzi AI w pracy prawników dotyczy nie tylko adwokatów i radców prawnych, ale również środowiska sędziowskiego. </w:t>
      </w:r>
    </w:p>
    <w:p w14:paraId="573E9E85" w14:textId="77777777" w:rsidR="00666003" w:rsidRPr="00CF30E6" w:rsidRDefault="00666003">
      <w:pPr>
        <w:widowControl/>
        <w:spacing w:line="300" w:lineRule="auto"/>
        <w:jc w:val="both"/>
        <w:rPr>
          <w:sz w:val="20"/>
          <w:szCs w:val="20"/>
          <w:lang w:val="pl-PL"/>
        </w:rPr>
      </w:pPr>
    </w:p>
    <w:p w14:paraId="18543474" w14:textId="77777777" w:rsidR="00666003" w:rsidRPr="00CF30E6" w:rsidRDefault="005E2A6E">
      <w:pPr>
        <w:widowControl/>
        <w:spacing w:line="300" w:lineRule="auto"/>
        <w:jc w:val="both"/>
        <w:rPr>
          <w:sz w:val="20"/>
          <w:szCs w:val="20"/>
          <w:lang w:val="pl-PL"/>
        </w:rPr>
      </w:pPr>
      <w:r w:rsidRPr="00CF30E6">
        <w:rPr>
          <w:sz w:val="20"/>
          <w:szCs w:val="20"/>
          <w:lang w:val="pl-PL"/>
        </w:rPr>
        <w:t xml:space="preserve">– Według ostatnich medialnych doniesień ciekawym przykładem jest wykorzystanie </w:t>
      </w:r>
      <w:proofErr w:type="spellStart"/>
      <w:r w:rsidRPr="00CF30E6">
        <w:rPr>
          <w:sz w:val="20"/>
          <w:szCs w:val="20"/>
          <w:lang w:val="pl-PL"/>
        </w:rPr>
        <w:t>ch</w:t>
      </w:r>
      <w:r w:rsidRPr="00CF30E6">
        <w:rPr>
          <w:sz w:val="20"/>
          <w:szCs w:val="20"/>
          <w:lang w:val="pl-PL"/>
        </w:rPr>
        <w:t>atbota</w:t>
      </w:r>
      <w:proofErr w:type="spellEnd"/>
      <w:r w:rsidRPr="00CF30E6">
        <w:rPr>
          <w:sz w:val="20"/>
          <w:szCs w:val="20"/>
          <w:lang w:val="pl-PL"/>
        </w:rPr>
        <w:t xml:space="preserve"> AI przez sędziego Sądu Rejonowego w Brodnicy, który podczas rozprawy w sprawie o sankcję kredytu darmowego w sporze dotyczącym poprawności RRSO podanej przez bank, wykorzystał duży model językowy (</w:t>
      </w:r>
      <w:proofErr w:type="spellStart"/>
      <w:r w:rsidRPr="00CF30E6">
        <w:rPr>
          <w:sz w:val="20"/>
          <w:szCs w:val="20"/>
          <w:lang w:val="pl-PL"/>
        </w:rPr>
        <w:t>Gemini</w:t>
      </w:r>
      <w:proofErr w:type="spellEnd"/>
      <w:r w:rsidRPr="00CF30E6">
        <w:rPr>
          <w:sz w:val="20"/>
          <w:szCs w:val="20"/>
          <w:lang w:val="pl-PL"/>
        </w:rPr>
        <w:t>) do zaprezentowania stronom dodatkowego wylic</w:t>
      </w:r>
      <w:r w:rsidRPr="00CF30E6">
        <w:rPr>
          <w:sz w:val="20"/>
          <w:szCs w:val="20"/>
          <w:lang w:val="pl-PL"/>
        </w:rPr>
        <w:t>zenia RRSO</w:t>
      </w:r>
      <w:r w:rsidRPr="00CF30E6">
        <w:rPr>
          <w:sz w:val="20"/>
          <w:szCs w:val="20"/>
          <w:vertAlign w:val="superscript"/>
          <w:lang w:val="pl-PL"/>
        </w:rPr>
        <w:footnoteReference w:id="2"/>
      </w:r>
      <w:r w:rsidRPr="00CF30E6">
        <w:rPr>
          <w:sz w:val="20"/>
          <w:szCs w:val="20"/>
          <w:lang w:val="pl-PL"/>
        </w:rPr>
        <w:t>. Sędzia omówił sposób działania narzędzia AI i wprowadzone dane, podkreślając użycie wyłącznie abstrakcyjnych wartości liczbowych bez danych identyfikujących strony oraz zaznaczając, że celem nie było zastąpienie opinii biegłego</w:t>
      </w:r>
      <w:r w:rsidRPr="00CF30E6">
        <w:rPr>
          <w:sz w:val="20"/>
          <w:szCs w:val="20"/>
          <w:vertAlign w:val="superscript"/>
          <w:lang w:val="pl-PL"/>
        </w:rPr>
        <w:footnoteReference w:id="3"/>
      </w:r>
      <w:r w:rsidRPr="00CF30E6">
        <w:rPr>
          <w:sz w:val="20"/>
          <w:szCs w:val="20"/>
          <w:lang w:val="pl-PL"/>
        </w:rPr>
        <w:t xml:space="preserve"> – przytacza </w:t>
      </w:r>
      <w:r w:rsidRPr="00CF30E6">
        <w:rPr>
          <w:sz w:val="20"/>
          <w:szCs w:val="20"/>
          <w:lang w:val="pl-PL"/>
        </w:rPr>
        <w:t>ekspertka.</w:t>
      </w:r>
    </w:p>
    <w:p w14:paraId="716CFB56" w14:textId="77777777" w:rsidR="00666003" w:rsidRPr="00CF30E6" w:rsidRDefault="005E2A6E">
      <w:pPr>
        <w:spacing w:before="240" w:after="240" w:line="300" w:lineRule="auto"/>
        <w:jc w:val="both"/>
        <w:rPr>
          <w:b/>
          <w:bCs/>
          <w:sz w:val="20"/>
          <w:szCs w:val="20"/>
          <w:lang w:val="pl-PL"/>
        </w:rPr>
      </w:pPr>
      <w:r w:rsidRPr="00CF30E6">
        <w:rPr>
          <w:b/>
          <w:bCs/>
          <w:sz w:val="20"/>
          <w:szCs w:val="20"/>
          <w:lang w:val="pl-PL"/>
        </w:rPr>
        <w:t>Skala problemu halucynacji w narzędziach AI</w:t>
      </w:r>
    </w:p>
    <w:p w14:paraId="7CF31118" w14:textId="77777777" w:rsidR="00666003" w:rsidRPr="00CF30E6" w:rsidRDefault="005E2A6E">
      <w:pPr>
        <w:spacing w:before="240" w:after="240" w:line="300" w:lineRule="auto"/>
        <w:jc w:val="both"/>
        <w:rPr>
          <w:sz w:val="20"/>
          <w:szCs w:val="20"/>
          <w:lang w:val="pl-PL"/>
        </w:rPr>
      </w:pPr>
      <w:r w:rsidRPr="00CF30E6">
        <w:rPr>
          <w:sz w:val="20"/>
          <w:szCs w:val="20"/>
          <w:lang w:val="pl-PL"/>
        </w:rPr>
        <w:t>Obecne modele AI, zwłaszcza LLM, nie „myślą” ani nie „rozumieją” świata. Oznacza to, że generują one odpowiedzi w oparciu o statystyczne wzorce, przewidując prawdopodobieństwo kolejnego słowa w sekwenc</w:t>
      </w:r>
      <w:r w:rsidRPr="00CF30E6">
        <w:rPr>
          <w:sz w:val="20"/>
          <w:szCs w:val="20"/>
          <w:lang w:val="pl-PL"/>
        </w:rPr>
        <w:t xml:space="preserve">ji i nie rozumieją treści. Ekspertka zauważa, że ten model działania trafnie opisuje koncepcja „stochastycznej papugi” (ang. </w:t>
      </w:r>
      <w:proofErr w:type="spellStart"/>
      <w:r w:rsidRPr="00CF30E6">
        <w:rPr>
          <w:sz w:val="20"/>
          <w:szCs w:val="20"/>
          <w:lang w:val="pl-PL"/>
        </w:rPr>
        <w:t>Stochastic</w:t>
      </w:r>
      <w:proofErr w:type="spellEnd"/>
      <w:r w:rsidRPr="00CF30E6">
        <w:rPr>
          <w:sz w:val="20"/>
          <w:szCs w:val="20"/>
          <w:lang w:val="pl-PL"/>
        </w:rPr>
        <w:t xml:space="preserve"> </w:t>
      </w:r>
      <w:proofErr w:type="spellStart"/>
      <w:r w:rsidRPr="00CF30E6">
        <w:rPr>
          <w:sz w:val="20"/>
          <w:szCs w:val="20"/>
          <w:lang w:val="pl-PL"/>
        </w:rPr>
        <w:t>Parrot</w:t>
      </w:r>
      <w:proofErr w:type="spellEnd"/>
      <w:r w:rsidRPr="00CF30E6">
        <w:rPr>
          <w:sz w:val="20"/>
          <w:szCs w:val="20"/>
          <w:lang w:val="pl-PL"/>
        </w:rPr>
        <w:t>) wprowadzona w 2021 r. przez profesorów z Uniwersytetu Waszyngtońskiego</w:t>
      </w:r>
      <w:r w:rsidRPr="00CF30E6">
        <w:rPr>
          <w:sz w:val="20"/>
          <w:szCs w:val="20"/>
          <w:vertAlign w:val="superscript"/>
          <w:lang w:val="pl-PL"/>
        </w:rPr>
        <w:footnoteReference w:id="4"/>
      </w:r>
      <w:r w:rsidRPr="00CF30E6">
        <w:rPr>
          <w:sz w:val="20"/>
          <w:szCs w:val="20"/>
          <w:lang w:val="pl-PL"/>
        </w:rPr>
        <w:t>. Zgodnie z nią modele LLM jedynie naśla</w:t>
      </w:r>
      <w:r w:rsidRPr="00CF30E6">
        <w:rPr>
          <w:sz w:val="20"/>
          <w:szCs w:val="20"/>
          <w:lang w:val="pl-PL"/>
        </w:rPr>
        <w:t xml:space="preserve">dują ludzką komunikację, łącząc fragmenty tekstu z danych treningowych w statystycznie </w:t>
      </w:r>
      <w:r w:rsidRPr="00CF30E6">
        <w:rPr>
          <w:sz w:val="20"/>
          <w:szCs w:val="20"/>
          <w:lang w:val="pl-PL"/>
        </w:rPr>
        <w:lastRenderedPageBreak/>
        <w:t>prawdopodobne sekwencje, podobnie jak papuga, która powtarza zasłyszane słowa bez zrozumienia ich znaczenia.</w:t>
      </w:r>
    </w:p>
    <w:p w14:paraId="13E3B37E" w14:textId="77777777" w:rsidR="00666003" w:rsidRPr="00CF30E6" w:rsidRDefault="005E2A6E">
      <w:pPr>
        <w:spacing w:before="240" w:after="240" w:line="300" w:lineRule="auto"/>
        <w:jc w:val="both"/>
        <w:rPr>
          <w:sz w:val="20"/>
          <w:szCs w:val="20"/>
          <w:lang w:val="pl-PL"/>
        </w:rPr>
      </w:pPr>
      <w:r w:rsidRPr="00CF30E6">
        <w:rPr>
          <w:sz w:val="20"/>
          <w:szCs w:val="20"/>
          <w:lang w:val="pl-PL"/>
        </w:rPr>
        <w:t>Stosowanie narzędzi generatywnej AI wiąże się z istotnym zag</w:t>
      </w:r>
      <w:r w:rsidRPr="00CF30E6">
        <w:rPr>
          <w:sz w:val="20"/>
          <w:szCs w:val="20"/>
          <w:lang w:val="pl-PL"/>
        </w:rPr>
        <w:t xml:space="preserve">rożeniem, jakim jest zjawisko halucynacji, polegające na zmyślaniu przez algorytmy nieistniejących informacji, np. przepisów prawnych, wyroków czy literatury. Badacze z Uniwersytetu </w:t>
      </w:r>
      <w:proofErr w:type="spellStart"/>
      <w:r w:rsidRPr="00CF30E6">
        <w:rPr>
          <w:sz w:val="20"/>
          <w:szCs w:val="20"/>
          <w:lang w:val="pl-PL"/>
        </w:rPr>
        <w:t>Standforda</w:t>
      </w:r>
      <w:proofErr w:type="spellEnd"/>
      <w:r w:rsidRPr="00CF30E6">
        <w:rPr>
          <w:sz w:val="20"/>
          <w:szCs w:val="20"/>
          <w:lang w:val="pl-PL"/>
        </w:rPr>
        <w:t xml:space="preserve"> wykazali w 2024 r., że w wypadku popularnych LLM w zapytaniach </w:t>
      </w:r>
      <w:r w:rsidRPr="00CF30E6">
        <w:rPr>
          <w:sz w:val="20"/>
          <w:szCs w:val="20"/>
          <w:lang w:val="pl-PL"/>
        </w:rPr>
        <w:t>dotyczących kwestii prawniczych modele halucynowały z częstotliwością od 69 proc. do 88 proc. przypadków</w:t>
      </w:r>
      <w:r w:rsidRPr="00CF30E6">
        <w:rPr>
          <w:sz w:val="20"/>
          <w:szCs w:val="20"/>
          <w:vertAlign w:val="superscript"/>
          <w:lang w:val="pl-PL"/>
        </w:rPr>
        <w:footnoteReference w:id="5"/>
      </w:r>
      <w:r w:rsidRPr="00CF30E6">
        <w:rPr>
          <w:sz w:val="20"/>
          <w:szCs w:val="20"/>
          <w:lang w:val="pl-PL"/>
        </w:rPr>
        <w:t>.</w:t>
      </w:r>
    </w:p>
    <w:p w14:paraId="2169A04C" w14:textId="77777777" w:rsidR="00666003" w:rsidRPr="00CF30E6" w:rsidRDefault="005E2A6E">
      <w:pPr>
        <w:spacing w:before="240" w:after="240" w:line="300" w:lineRule="auto"/>
        <w:jc w:val="both"/>
        <w:rPr>
          <w:sz w:val="20"/>
          <w:szCs w:val="20"/>
          <w:lang w:val="pl-PL"/>
        </w:rPr>
      </w:pPr>
      <w:r w:rsidRPr="00CF30E6">
        <w:rPr>
          <w:sz w:val="20"/>
          <w:szCs w:val="20"/>
          <w:lang w:val="pl-PL"/>
        </w:rPr>
        <w:t xml:space="preserve">Tymczasem dostawcy technologii prawniczych, tacy jak </w:t>
      </w:r>
      <w:proofErr w:type="spellStart"/>
      <w:r w:rsidRPr="00CF30E6">
        <w:rPr>
          <w:sz w:val="20"/>
          <w:szCs w:val="20"/>
          <w:lang w:val="pl-PL"/>
        </w:rPr>
        <w:t>LexisNexis</w:t>
      </w:r>
      <w:proofErr w:type="spellEnd"/>
      <w:r w:rsidRPr="00CF30E6">
        <w:rPr>
          <w:sz w:val="20"/>
          <w:szCs w:val="20"/>
          <w:vertAlign w:val="superscript"/>
          <w:lang w:val="pl-PL"/>
        </w:rPr>
        <w:footnoteReference w:id="6"/>
      </w:r>
      <w:r w:rsidRPr="00CF30E6">
        <w:rPr>
          <w:sz w:val="20"/>
          <w:szCs w:val="20"/>
          <w:lang w:val="pl-PL"/>
        </w:rPr>
        <w:t xml:space="preserve"> czy Thomson Reuters</w:t>
      </w:r>
      <w:r w:rsidRPr="00CF30E6">
        <w:rPr>
          <w:sz w:val="20"/>
          <w:szCs w:val="20"/>
          <w:vertAlign w:val="superscript"/>
          <w:lang w:val="pl-PL"/>
        </w:rPr>
        <w:footnoteReference w:id="7"/>
      </w:r>
      <w:r w:rsidRPr="00CF30E6">
        <w:rPr>
          <w:sz w:val="20"/>
          <w:szCs w:val="20"/>
          <w:lang w:val="pl-PL"/>
        </w:rPr>
        <w:t>, twierdzą, że udało im się znacząco ograniczyć, a nawet całk</w:t>
      </w:r>
      <w:r w:rsidRPr="00CF30E6">
        <w:rPr>
          <w:sz w:val="20"/>
          <w:szCs w:val="20"/>
          <w:lang w:val="pl-PL"/>
        </w:rPr>
        <w:t>owicie wyeliminować ryzyko halucynacji dzięki zastosowaniu techniki RAG (</w:t>
      </w:r>
      <w:proofErr w:type="spellStart"/>
      <w:r w:rsidRPr="00CF30E6">
        <w:rPr>
          <w:sz w:val="20"/>
          <w:szCs w:val="20"/>
          <w:lang w:val="pl-PL"/>
        </w:rPr>
        <w:t>Retrieval-Augmented</w:t>
      </w:r>
      <w:proofErr w:type="spellEnd"/>
      <w:r w:rsidRPr="00CF30E6">
        <w:rPr>
          <w:sz w:val="20"/>
          <w:szCs w:val="20"/>
          <w:lang w:val="pl-PL"/>
        </w:rPr>
        <w:t xml:space="preserve"> </w:t>
      </w:r>
      <w:proofErr w:type="spellStart"/>
      <w:r w:rsidRPr="00CF30E6">
        <w:rPr>
          <w:sz w:val="20"/>
          <w:szCs w:val="20"/>
          <w:lang w:val="pl-PL"/>
        </w:rPr>
        <w:t>Generation</w:t>
      </w:r>
      <w:proofErr w:type="spellEnd"/>
      <w:r w:rsidRPr="00CF30E6">
        <w:rPr>
          <w:sz w:val="20"/>
          <w:szCs w:val="20"/>
          <w:lang w:val="pl-PL"/>
        </w:rPr>
        <w:t>), czyli generowanie wspomagane wyszukiwaniem, które polega na „zakotwiczeniu” sztucznej inteligencji w wiarygodnych źródłach. Model, zamiast generować o</w:t>
      </w:r>
      <w:r w:rsidRPr="00CF30E6">
        <w:rPr>
          <w:sz w:val="20"/>
          <w:szCs w:val="20"/>
          <w:lang w:val="pl-PL"/>
        </w:rPr>
        <w:t>dpowiedź z własnej pamięci, najpierw przeszukuje zamkniętą bazę, odnajduje właściwe fragmenty i dopiero na ich podstawie tworzy tekst.</w:t>
      </w:r>
    </w:p>
    <w:p w14:paraId="6C374DF0" w14:textId="77777777" w:rsidR="00666003" w:rsidRPr="00CF30E6" w:rsidRDefault="005E2A6E">
      <w:pPr>
        <w:spacing w:before="240" w:after="240" w:line="300" w:lineRule="auto"/>
        <w:jc w:val="both"/>
        <w:rPr>
          <w:sz w:val="20"/>
          <w:szCs w:val="20"/>
          <w:lang w:val="pl-PL"/>
        </w:rPr>
      </w:pPr>
      <w:r w:rsidRPr="00CF30E6">
        <w:rPr>
          <w:sz w:val="20"/>
          <w:szCs w:val="20"/>
          <w:lang w:val="pl-PL"/>
        </w:rPr>
        <w:t>Ekspertka zauważa, że wyniki dostępnego badania oceniającego narzędzia do analizy prawnej oparte na technice RAG nie są j</w:t>
      </w:r>
      <w:r w:rsidRPr="00CF30E6">
        <w:rPr>
          <w:sz w:val="20"/>
          <w:szCs w:val="20"/>
          <w:lang w:val="pl-PL"/>
        </w:rPr>
        <w:t xml:space="preserve">uż tak optymistyczne, jak obietnice dostawców. Choć liczba halucynacji jest mniejsza niż w przypadku ogólnych </w:t>
      </w:r>
      <w:proofErr w:type="spellStart"/>
      <w:r w:rsidRPr="00CF30E6">
        <w:rPr>
          <w:sz w:val="20"/>
          <w:szCs w:val="20"/>
          <w:lang w:val="pl-PL"/>
        </w:rPr>
        <w:t>chatbotów</w:t>
      </w:r>
      <w:proofErr w:type="spellEnd"/>
      <w:r w:rsidRPr="00CF30E6">
        <w:rPr>
          <w:sz w:val="20"/>
          <w:szCs w:val="20"/>
          <w:lang w:val="pl-PL"/>
        </w:rPr>
        <w:t xml:space="preserve">, takich jak np. GPT-4, to badacze ze Stanford </w:t>
      </w:r>
      <w:proofErr w:type="spellStart"/>
      <w:r w:rsidRPr="00CF30E6">
        <w:rPr>
          <w:sz w:val="20"/>
          <w:szCs w:val="20"/>
          <w:lang w:val="pl-PL"/>
        </w:rPr>
        <w:t>RegLab</w:t>
      </w:r>
      <w:proofErr w:type="spellEnd"/>
      <w:r w:rsidRPr="00CF30E6">
        <w:rPr>
          <w:sz w:val="20"/>
          <w:szCs w:val="20"/>
          <w:lang w:val="pl-PL"/>
        </w:rPr>
        <w:t xml:space="preserve"> oraz Yale ISPS w 2025 r. ustalili, że specjalistyczne narzędzia od </w:t>
      </w:r>
      <w:proofErr w:type="spellStart"/>
      <w:r w:rsidRPr="00CF30E6">
        <w:rPr>
          <w:sz w:val="20"/>
          <w:szCs w:val="20"/>
          <w:lang w:val="pl-PL"/>
        </w:rPr>
        <w:t>LexisNexis</w:t>
      </w:r>
      <w:proofErr w:type="spellEnd"/>
      <w:r w:rsidRPr="00CF30E6">
        <w:rPr>
          <w:sz w:val="20"/>
          <w:szCs w:val="20"/>
          <w:lang w:val="pl-PL"/>
        </w:rPr>
        <w:t xml:space="preserve"> oraz </w:t>
      </w:r>
      <w:r w:rsidRPr="00CF30E6">
        <w:rPr>
          <w:sz w:val="20"/>
          <w:szCs w:val="20"/>
          <w:lang w:val="pl-PL"/>
        </w:rPr>
        <w:t xml:space="preserve">Thomson Reuters zmyślają </w:t>
      </w:r>
      <w:r w:rsidRPr="00CF30E6">
        <w:rPr>
          <w:sz w:val="20"/>
          <w:szCs w:val="20"/>
          <w:lang w:val="pl-PL"/>
        </w:rPr>
        <w:lastRenderedPageBreak/>
        <w:t>informacje w granicach od 17 do 33 proc. odpowiedzi</w:t>
      </w:r>
      <w:r w:rsidRPr="00CF30E6">
        <w:rPr>
          <w:sz w:val="20"/>
          <w:szCs w:val="20"/>
          <w:vertAlign w:val="superscript"/>
          <w:lang w:val="pl-PL"/>
        </w:rPr>
        <w:footnoteReference w:id="8"/>
      </w:r>
      <w:r w:rsidRPr="00CF30E6">
        <w:rPr>
          <w:sz w:val="20"/>
          <w:szCs w:val="20"/>
          <w:lang w:val="pl-PL"/>
        </w:rPr>
        <w:t>.</w:t>
      </w:r>
    </w:p>
    <w:p w14:paraId="20B5D139" w14:textId="77777777" w:rsidR="00666003" w:rsidRPr="00CF30E6" w:rsidRDefault="005E2A6E">
      <w:pPr>
        <w:spacing w:before="240" w:after="240" w:line="300" w:lineRule="auto"/>
        <w:jc w:val="both"/>
        <w:rPr>
          <w:sz w:val="20"/>
          <w:szCs w:val="20"/>
          <w:lang w:val="pl-PL"/>
        </w:rPr>
      </w:pPr>
      <w:r w:rsidRPr="00CF30E6">
        <w:rPr>
          <w:sz w:val="20"/>
          <w:szCs w:val="20"/>
          <w:lang w:val="pl-PL"/>
        </w:rPr>
        <w:t>– Z powyższych badań wynika, że nie należy bezgranicznie ufać odpowiedziom tworzonym przez generatywne modele AI i koniecznie trzeba weryfikować treści dostarczane przez te nar</w:t>
      </w:r>
      <w:r w:rsidRPr="00CF30E6">
        <w:rPr>
          <w:sz w:val="20"/>
          <w:szCs w:val="20"/>
          <w:lang w:val="pl-PL"/>
        </w:rPr>
        <w:t>zędzia. Ekspert od prawa nowych technologii Tomasz Prus</w:t>
      </w:r>
      <w:r w:rsidRPr="00CF30E6">
        <w:rPr>
          <w:sz w:val="20"/>
          <w:szCs w:val="20"/>
          <w:vertAlign w:val="superscript"/>
          <w:lang w:val="pl-PL"/>
        </w:rPr>
        <w:footnoteReference w:id="9"/>
      </w:r>
      <w:r w:rsidRPr="00CF30E6">
        <w:rPr>
          <w:sz w:val="20"/>
          <w:szCs w:val="20"/>
          <w:lang w:val="pl-PL"/>
        </w:rPr>
        <w:t xml:space="preserve"> dodaje, że nie ma jednego standardu badania modeli AI pod kątem halucynacji, bo zależą one od tego, jak sformułowane jest pytanie. Zgadzam się z tym stwierdzeniem, ponieważ „walka z halucynacjami”, </w:t>
      </w:r>
      <w:r w:rsidRPr="00CF30E6">
        <w:rPr>
          <w:sz w:val="20"/>
          <w:szCs w:val="20"/>
          <w:lang w:val="pl-PL"/>
        </w:rPr>
        <w:t xml:space="preserve">to nie jednorazowy „problem do rozwiązania”, ale stały proces zarządzania ryzykiem w pracy prawnika, który wymaga stworzenia wewnętrznych standardów pracy z narzędziami AI – wskazuje ekspertka z Uniwersytetu SWPS. </w:t>
      </w:r>
    </w:p>
    <w:p w14:paraId="7A2833DF" w14:textId="77777777" w:rsidR="00666003" w:rsidRPr="00CF30E6" w:rsidRDefault="005E2A6E">
      <w:pPr>
        <w:spacing w:before="240" w:after="240" w:line="300" w:lineRule="auto"/>
        <w:jc w:val="both"/>
        <w:rPr>
          <w:b/>
          <w:bCs/>
          <w:sz w:val="20"/>
          <w:szCs w:val="20"/>
          <w:lang w:val="pl-PL"/>
        </w:rPr>
      </w:pPr>
      <w:r w:rsidRPr="00CF30E6">
        <w:rPr>
          <w:b/>
          <w:bCs/>
          <w:sz w:val="20"/>
          <w:szCs w:val="20"/>
          <w:lang w:val="pl-PL"/>
        </w:rPr>
        <w:t xml:space="preserve">Ryzyka i szanse sztucznej inteligencji w </w:t>
      </w:r>
      <w:r w:rsidRPr="00CF30E6">
        <w:rPr>
          <w:b/>
          <w:bCs/>
          <w:sz w:val="20"/>
          <w:szCs w:val="20"/>
          <w:lang w:val="pl-PL"/>
        </w:rPr>
        <w:t>prawie</w:t>
      </w:r>
    </w:p>
    <w:p w14:paraId="735AECBE" w14:textId="77777777" w:rsidR="00666003" w:rsidRPr="00CF30E6" w:rsidRDefault="005E2A6E">
      <w:pPr>
        <w:spacing w:before="240" w:after="240" w:line="300" w:lineRule="auto"/>
        <w:jc w:val="both"/>
        <w:rPr>
          <w:sz w:val="20"/>
          <w:szCs w:val="20"/>
          <w:lang w:val="pl-PL"/>
        </w:rPr>
      </w:pPr>
      <w:r w:rsidRPr="00CF30E6">
        <w:rPr>
          <w:sz w:val="20"/>
          <w:szCs w:val="20"/>
          <w:lang w:val="pl-PL"/>
        </w:rPr>
        <w:t>Innym problemem pozostaje kwestia ochrony prywatności, ponieważ wprowadzanie poufnych danych klientów czy szczegółów akt sądowych do publicznych systemów naraża je na wyciek. Ponadto, ogólnodostępne modele często nie rozumieją subtelnych niuansów lokalnego</w:t>
      </w:r>
      <w:r w:rsidRPr="00CF30E6">
        <w:rPr>
          <w:sz w:val="20"/>
          <w:szCs w:val="20"/>
          <w:lang w:val="pl-PL"/>
        </w:rPr>
        <w:t xml:space="preserve"> systemu prawnego i mogą opierać się na nieaktualnych lub stronniczych bazach treningowych.</w:t>
      </w:r>
    </w:p>
    <w:p w14:paraId="0239233F" w14:textId="77777777" w:rsidR="00666003" w:rsidRPr="00CF30E6" w:rsidRDefault="005E2A6E">
      <w:pPr>
        <w:spacing w:before="240" w:after="240" w:line="300" w:lineRule="auto"/>
        <w:jc w:val="both"/>
        <w:rPr>
          <w:sz w:val="20"/>
          <w:szCs w:val="20"/>
          <w:lang w:val="pl-PL"/>
        </w:rPr>
      </w:pPr>
      <w:r w:rsidRPr="00CF30E6">
        <w:rPr>
          <w:sz w:val="20"/>
          <w:szCs w:val="20"/>
          <w:lang w:val="pl-PL"/>
        </w:rPr>
        <w:t xml:space="preserve">Ekspertka wskazuje, że świadomość tych </w:t>
      </w:r>
      <w:proofErr w:type="spellStart"/>
      <w:r w:rsidRPr="00CF30E6">
        <w:rPr>
          <w:sz w:val="20"/>
          <w:szCs w:val="20"/>
          <w:lang w:val="pl-PL"/>
        </w:rPr>
        <w:t>ryzyk</w:t>
      </w:r>
      <w:proofErr w:type="spellEnd"/>
      <w:r w:rsidRPr="00CF30E6">
        <w:rPr>
          <w:sz w:val="20"/>
          <w:szCs w:val="20"/>
          <w:lang w:val="pl-PL"/>
        </w:rPr>
        <w:t xml:space="preserve"> wymaga od kancelarii i działów prawnych wypracowania wewnętrznych standardów w zakresie korzystania z narzędzi AI. – Sa</w:t>
      </w:r>
      <w:r w:rsidRPr="00CF30E6">
        <w:rPr>
          <w:sz w:val="20"/>
          <w:szCs w:val="20"/>
          <w:lang w:val="pl-PL"/>
        </w:rPr>
        <w:t>morządy zawodowe również powinny opracować standardy branżowe. Przykładem jest Krajowa Izba Radców Prawnych, która w 2025 r. przygotowała rekomendacje dotyczące korzystania przez radców prawnych z narzędzi opartych na sztucznej inteligencji</w:t>
      </w:r>
      <w:r w:rsidRPr="00CF30E6">
        <w:rPr>
          <w:sz w:val="20"/>
          <w:szCs w:val="20"/>
          <w:vertAlign w:val="superscript"/>
          <w:lang w:val="pl-PL"/>
        </w:rPr>
        <w:footnoteReference w:id="10"/>
      </w:r>
      <w:r w:rsidRPr="00CF30E6">
        <w:rPr>
          <w:sz w:val="20"/>
          <w:szCs w:val="20"/>
          <w:lang w:val="pl-PL"/>
        </w:rPr>
        <w:t xml:space="preserve"> – podkreśla e</w:t>
      </w:r>
      <w:r w:rsidRPr="00CF30E6">
        <w:rPr>
          <w:sz w:val="20"/>
          <w:szCs w:val="20"/>
          <w:lang w:val="pl-PL"/>
        </w:rPr>
        <w:t xml:space="preserve">kspertka z Uniwersytetu </w:t>
      </w:r>
      <w:r w:rsidRPr="00CF30E6">
        <w:rPr>
          <w:sz w:val="20"/>
          <w:szCs w:val="20"/>
          <w:lang w:val="pl-PL"/>
        </w:rPr>
        <w:lastRenderedPageBreak/>
        <w:t>SWPS.</w:t>
      </w:r>
    </w:p>
    <w:p w14:paraId="6509E2DA" w14:textId="77777777" w:rsidR="00666003" w:rsidRPr="00CF30E6" w:rsidRDefault="005E2A6E">
      <w:pPr>
        <w:spacing w:before="240" w:after="240" w:line="300" w:lineRule="auto"/>
        <w:jc w:val="both"/>
        <w:rPr>
          <w:sz w:val="20"/>
          <w:szCs w:val="20"/>
          <w:lang w:val="pl-PL"/>
        </w:rPr>
      </w:pPr>
      <w:r w:rsidRPr="00CF30E6">
        <w:rPr>
          <w:sz w:val="20"/>
          <w:szCs w:val="20"/>
          <w:lang w:val="pl-PL"/>
        </w:rPr>
        <w:t xml:space="preserve">Dr Agnieszka Skorupka zauważa również, że kluczowe znaczenie dla rzetelności odpowiedzi ma jakość danych, na których wytrenowano model – każda informacja oraz źródło wygenerowane przez </w:t>
      </w:r>
      <w:proofErr w:type="spellStart"/>
      <w:r w:rsidRPr="00CF30E6">
        <w:rPr>
          <w:sz w:val="20"/>
          <w:szCs w:val="20"/>
          <w:lang w:val="pl-PL"/>
        </w:rPr>
        <w:t>chatbot</w:t>
      </w:r>
      <w:proofErr w:type="spellEnd"/>
      <w:r w:rsidRPr="00CF30E6">
        <w:rPr>
          <w:sz w:val="20"/>
          <w:szCs w:val="20"/>
          <w:lang w:val="pl-PL"/>
        </w:rPr>
        <w:t xml:space="preserve"> wymagają skrupulatnej i samodziel</w:t>
      </w:r>
      <w:r w:rsidRPr="00CF30E6">
        <w:rPr>
          <w:sz w:val="20"/>
          <w:szCs w:val="20"/>
          <w:lang w:val="pl-PL"/>
        </w:rPr>
        <w:t>nej weryfikacji przez prawnika.</w:t>
      </w:r>
    </w:p>
    <w:p w14:paraId="4750C387" w14:textId="77777777" w:rsidR="00666003" w:rsidRPr="00CF30E6" w:rsidRDefault="005E2A6E">
      <w:pPr>
        <w:widowControl/>
        <w:spacing w:line="300" w:lineRule="auto"/>
        <w:jc w:val="both"/>
        <w:rPr>
          <w:sz w:val="20"/>
          <w:szCs w:val="20"/>
          <w:lang w:val="pl-PL"/>
        </w:rPr>
      </w:pPr>
      <w:r w:rsidRPr="00CF30E6">
        <w:rPr>
          <w:sz w:val="20"/>
          <w:szCs w:val="20"/>
          <w:lang w:val="pl-PL"/>
        </w:rPr>
        <w:t xml:space="preserve">– Obecnie najbardziej wartościowe i zawierające mniejsze ryzyka halucynacji są narzędzia – </w:t>
      </w:r>
      <w:proofErr w:type="spellStart"/>
      <w:r w:rsidRPr="00CF30E6">
        <w:rPr>
          <w:sz w:val="20"/>
          <w:szCs w:val="20"/>
          <w:lang w:val="pl-PL"/>
        </w:rPr>
        <w:t>chatboty</w:t>
      </w:r>
      <w:proofErr w:type="spellEnd"/>
      <w:r w:rsidRPr="00CF30E6">
        <w:rPr>
          <w:sz w:val="20"/>
          <w:szCs w:val="20"/>
          <w:lang w:val="pl-PL"/>
        </w:rPr>
        <w:t>, które działają w oparciu o zweryfikowane źródła i są przystosowane do potrzeb zawodowych prawników. W konsekwencji, niezale</w:t>
      </w:r>
      <w:r w:rsidRPr="00CF30E6">
        <w:rPr>
          <w:sz w:val="20"/>
          <w:szCs w:val="20"/>
          <w:lang w:val="pl-PL"/>
        </w:rPr>
        <w:t>żnie od zaawansowania wybranego narzędzia, to na prawniku spoczywa pełna i wyłączna odpowiedzialność za treść i skutki pism, dokumentów oraz opinii napisanych przy wsparciu algorytmów – podsumowuje ekspertka.</w:t>
      </w:r>
    </w:p>
    <w:p w14:paraId="0069E5F8" w14:textId="77777777" w:rsidR="00666003" w:rsidRPr="00CF30E6" w:rsidRDefault="00666003">
      <w:pPr>
        <w:widowControl/>
        <w:spacing w:line="300" w:lineRule="auto"/>
        <w:jc w:val="both"/>
        <w:rPr>
          <w:sz w:val="20"/>
          <w:szCs w:val="20"/>
          <w:lang w:val="pl-PL"/>
        </w:rPr>
      </w:pPr>
    </w:p>
    <w:p w14:paraId="79A7F8FD" w14:textId="77777777" w:rsidR="00666003" w:rsidRPr="00CF30E6" w:rsidRDefault="005E2A6E">
      <w:pPr>
        <w:widowControl/>
        <w:spacing w:line="276" w:lineRule="auto"/>
        <w:jc w:val="both"/>
        <w:rPr>
          <w:rFonts w:ascii="Arial" w:eastAsia="Arial" w:hAnsi="Arial" w:cs="Arial"/>
          <w:b/>
          <w:bCs/>
          <w:lang w:val="pl-PL"/>
        </w:rPr>
      </w:pPr>
      <w:r w:rsidRPr="00CF30E6">
        <w:rPr>
          <w:rFonts w:ascii="Arial" w:eastAsia="Arial" w:hAnsi="Arial" w:cs="Arial"/>
          <w:b/>
          <w:bCs/>
          <w:lang w:val="pl-PL"/>
        </w:rPr>
        <w:t>****</w:t>
      </w:r>
    </w:p>
    <w:p w14:paraId="3C07EDF5" w14:textId="77777777" w:rsidR="00666003" w:rsidRPr="00CF30E6" w:rsidRDefault="00666003">
      <w:pPr>
        <w:widowControl/>
        <w:spacing w:line="276" w:lineRule="auto"/>
        <w:jc w:val="both"/>
        <w:rPr>
          <w:b/>
          <w:bCs/>
          <w:sz w:val="20"/>
          <w:szCs w:val="20"/>
          <w:lang w:val="pl-PL"/>
        </w:rPr>
      </w:pPr>
    </w:p>
    <w:p w14:paraId="1740B562" w14:textId="77777777" w:rsidR="00666003" w:rsidRPr="00CF30E6" w:rsidRDefault="005E2A6E">
      <w:pPr>
        <w:widowControl/>
        <w:spacing w:line="276" w:lineRule="auto"/>
        <w:jc w:val="both"/>
        <w:rPr>
          <w:sz w:val="20"/>
          <w:szCs w:val="20"/>
          <w:lang w:val="pl-PL"/>
        </w:rPr>
      </w:pPr>
      <w:r w:rsidRPr="00CF30E6">
        <w:rPr>
          <w:b/>
          <w:bCs/>
          <w:sz w:val="20"/>
          <w:szCs w:val="20"/>
          <w:lang w:val="pl-PL"/>
        </w:rPr>
        <w:t>Uniwersytet SWPS</w:t>
      </w:r>
      <w:r w:rsidRPr="00CF30E6">
        <w:rPr>
          <w:sz w:val="20"/>
          <w:szCs w:val="20"/>
          <w:lang w:val="pl-PL"/>
        </w:rPr>
        <w:t xml:space="preserve"> to nowoczesna uczelnia oparta na trwałych wartościach. Silną pozycję zawdzięcza połączeniu wysokiej jakości dydaktyki z badaniami naukowymi prowadzonymi na najwyższym poziomie. Uczelnia kształci blisko 18 tys. studentek i studentów – w tym ponad tysiąc z </w:t>
      </w:r>
      <w:r w:rsidRPr="00CF30E6">
        <w:rPr>
          <w:sz w:val="20"/>
          <w:szCs w:val="20"/>
          <w:lang w:val="pl-PL"/>
        </w:rPr>
        <w:t>zagranicy oraz ponad 4,5 tys. słuchaczek i słuchaczy studiów podyplomowych na ponad 50 kierunkach studiów stacjonarnych i ponad 40 niestacjonarnych i ok. 240 kierunkach studiów podyplomowych. Uniwersytet oferuje programy studiów z psychologii, prawa, zarzą</w:t>
      </w:r>
      <w:r w:rsidRPr="00CF30E6">
        <w:rPr>
          <w:sz w:val="20"/>
          <w:szCs w:val="20"/>
          <w:lang w:val="pl-PL"/>
        </w:rPr>
        <w:t>dzania, dziennikarstwa, filologii, kulturoznawstwa, nowych technologii oraz grafiki i wzornictwa, a także edukację w postaci szkoleń i krótkich kursów akademickich. Uczelnia dba o wysoką wartość akademicką naszych programów oraz ich dostosowanie do wymagań</w:t>
      </w:r>
      <w:r w:rsidRPr="00CF30E6">
        <w:rPr>
          <w:sz w:val="20"/>
          <w:szCs w:val="20"/>
          <w:lang w:val="pl-PL"/>
        </w:rPr>
        <w:t xml:space="preserve"> zmieniającego się rynku pracy. Kampusy Uniwersytetu SWPS znajdują się w sześciu miastach: Warszawie (siedziba), Wrocławiu, Sopocie, Poznaniu, Katowicach i w Krakowie.</w:t>
      </w:r>
    </w:p>
    <w:p w14:paraId="287B413A" w14:textId="77777777" w:rsidR="00666003" w:rsidRPr="00CF30E6" w:rsidRDefault="00666003">
      <w:pPr>
        <w:widowControl/>
        <w:spacing w:line="276" w:lineRule="auto"/>
        <w:jc w:val="both"/>
        <w:rPr>
          <w:sz w:val="20"/>
          <w:szCs w:val="20"/>
          <w:lang w:val="pl-PL"/>
        </w:rPr>
      </w:pPr>
    </w:p>
    <w:p w14:paraId="1B8212A2" w14:textId="77777777" w:rsidR="00666003" w:rsidRPr="00CF30E6" w:rsidRDefault="005E2A6E">
      <w:pPr>
        <w:widowControl/>
        <w:spacing w:line="276" w:lineRule="auto"/>
        <w:jc w:val="both"/>
        <w:rPr>
          <w:sz w:val="20"/>
          <w:szCs w:val="20"/>
          <w:lang w:val="pl-PL"/>
        </w:rPr>
      </w:pPr>
      <w:r w:rsidRPr="00CF30E6">
        <w:rPr>
          <w:sz w:val="20"/>
          <w:szCs w:val="20"/>
          <w:lang w:val="pl-PL"/>
        </w:rPr>
        <w:t>Uczelnia posiada uprawnienia do nadawania stopnia doktora oraz doktora habilitowanego w</w:t>
      </w:r>
      <w:r w:rsidRPr="00CF30E6">
        <w:rPr>
          <w:sz w:val="20"/>
          <w:szCs w:val="20"/>
          <w:lang w:val="pl-PL"/>
        </w:rPr>
        <w:t xml:space="preserve"> siedmiu dyscyplinach: psychologia, nauki o kulturze i religii, literaturoznawstwo, nauki prawne, nauki socjologiczne, nauki o polityce i administracji, sztuki plastyczne i konserwacja dzieł sztuki. Na Uniwersytecie SWPS funkcjonuje pięć instytutów naukowy</w:t>
      </w:r>
      <w:r w:rsidRPr="00CF30E6">
        <w:rPr>
          <w:sz w:val="20"/>
          <w:szCs w:val="20"/>
          <w:lang w:val="pl-PL"/>
        </w:rPr>
        <w:t xml:space="preserve">ch, które zajmują się organizacją i koordynacją działalności naukowej pracowników badawczych i badawczo-dydaktycznych uczelni </w:t>
      </w:r>
      <w:r w:rsidRPr="00CF30E6">
        <w:rPr>
          <w:sz w:val="20"/>
          <w:szCs w:val="20"/>
          <w:lang w:val="pl-PL"/>
        </w:rPr>
        <w:lastRenderedPageBreak/>
        <w:t>w poszczególnych dyscyplinach: Instytut Psychologii, Instytut Nauk Humanistycznych, Instytut Nauk Społecznych, Instytut Prawa oraz</w:t>
      </w:r>
      <w:r w:rsidRPr="00CF30E6">
        <w:rPr>
          <w:sz w:val="20"/>
          <w:szCs w:val="20"/>
          <w:lang w:val="pl-PL"/>
        </w:rPr>
        <w:t xml:space="preserve"> Instytut Projektowania. W uczelni działa blisko 30 centrów badawczych oraz ponad 175 kół naukowych.</w:t>
      </w:r>
    </w:p>
    <w:p w14:paraId="68118C0B" w14:textId="77777777" w:rsidR="00666003" w:rsidRPr="00CF30E6" w:rsidRDefault="00666003">
      <w:pPr>
        <w:widowControl/>
        <w:spacing w:line="276" w:lineRule="auto"/>
        <w:jc w:val="both"/>
        <w:rPr>
          <w:sz w:val="20"/>
          <w:szCs w:val="20"/>
          <w:lang w:val="pl-PL"/>
        </w:rPr>
      </w:pPr>
    </w:p>
    <w:p w14:paraId="04366EDF" w14:textId="77777777" w:rsidR="00666003" w:rsidRPr="00CF30E6" w:rsidRDefault="005E2A6E">
      <w:pPr>
        <w:widowControl/>
        <w:spacing w:line="276" w:lineRule="auto"/>
        <w:jc w:val="both"/>
        <w:rPr>
          <w:sz w:val="20"/>
          <w:szCs w:val="20"/>
          <w:lang w:val="pl-PL"/>
        </w:rPr>
      </w:pPr>
      <w:r w:rsidRPr="00CF30E6">
        <w:rPr>
          <w:sz w:val="20"/>
          <w:szCs w:val="20"/>
          <w:lang w:val="pl-PL"/>
        </w:rPr>
        <w:t xml:space="preserve">Uniwersytet SWPS należy do sojuszu </w:t>
      </w:r>
      <w:proofErr w:type="spellStart"/>
      <w:r w:rsidRPr="00CF30E6">
        <w:rPr>
          <w:sz w:val="20"/>
          <w:szCs w:val="20"/>
          <w:lang w:val="pl-PL"/>
        </w:rPr>
        <w:t>European</w:t>
      </w:r>
      <w:proofErr w:type="spellEnd"/>
      <w:r w:rsidRPr="00CF30E6">
        <w:rPr>
          <w:sz w:val="20"/>
          <w:szCs w:val="20"/>
          <w:lang w:val="pl-PL"/>
        </w:rPr>
        <w:t xml:space="preserve"> Reform University Alliance (ERUA). Jest to sojusz uczelni zawarty w ramach Inicjatywy Uniwersytetów Europejski</w:t>
      </w:r>
      <w:r w:rsidRPr="00CF30E6">
        <w:rPr>
          <w:sz w:val="20"/>
          <w:szCs w:val="20"/>
          <w:lang w:val="pl-PL"/>
        </w:rPr>
        <w:t>ch, powołanej i finansowanej przez Komisję Europejską.</w:t>
      </w:r>
    </w:p>
    <w:sectPr w:rsidR="00666003" w:rsidRPr="00CF30E6">
      <w:headerReference w:type="even" r:id="rId7"/>
      <w:headerReference w:type="default" r:id="rId8"/>
      <w:footerReference w:type="default" r:id="rId9"/>
      <w:headerReference w:type="first" r:id="rId10"/>
      <w:pgSz w:w="11910" w:h="16840"/>
      <w:pgMar w:top="0" w:right="1701" w:bottom="2835" w:left="1701" w:header="3685" w:footer="1701"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DFBBA6" w14:textId="77777777" w:rsidR="005E2A6E" w:rsidRDefault="005E2A6E">
      <w:r>
        <w:separator/>
      </w:r>
    </w:p>
  </w:endnote>
  <w:endnote w:type="continuationSeparator" w:id="0">
    <w:p w14:paraId="58D3E558" w14:textId="77777777" w:rsidR="005E2A6E" w:rsidRDefault="005E2A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tserrat">
    <w:charset w:val="EE"/>
    <w:family w:val="auto"/>
    <w:pitch w:val="variable"/>
    <w:sig w:usb0="2000020F" w:usb1="00000003" w:usb2="00000000" w:usb3="00000000" w:csb0="00000197" w:csb1="00000000"/>
    <w:embedRegular r:id="rId1" w:fontKey="{AFCC6EB7-2D86-4B46-97B3-21DB68AFE633}"/>
    <w:embedBold r:id="rId2" w:fontKey="{A594F6D9-7D64-40F7-A4E2-329B825EA240}"/>
  </w:font>
  <w:font w:name="Times New Roman">
    <w:panose1 w:val="02020603050405020304"/>
    <w:charset w:val="EE"/>
    <w:family w:val="roman"/>
    <w:pitch w:val="variable"/>
    <w:sig w:usb0="E0002EFF" w:usb1="C000785B" w:usb2="00000009" w:usb3="00000000" w:csb0="000001FF" w:csb1="00000000"/>
  </w:font>
  <w:font w:name="Allura">
    <w:charset w:val="00"/>
    <w:family w:val="auto"/>
    <w:pitch w:val="default"/>
    <w:embedRegular r:id="rId3" w:fontKey="{7ED7FDEC-C6C0-4946-BB9C-EE93BF9BC6FF}"/>
  </w:font>
  <w:font w:name="Georgia">
    <w:panose1 w:val="02040502050405020303"/>
    <w:charset w:val="00"/>
    <w:family w:val="auto"/>
    <w:pitch w:val="default"/>
    <w:embedItalic r:id="rId4" w:fontKey="{922BF487-C290-4C6B-BC77-75B7EB55DA26}"/>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5" w:fontKey="{9EC0AA00-2725-4FAD-954D-D98CD2819E9F}"/>
  </w:font>
  <w:font w:name="Cambria">
    <w:panose1 w:val="02040503050406030204"/>
    <w:charset w:val="EE"/>
    <w:family w:val="roman"/>
    <w:pitch w:val="variable"/>
    <w:sig w:usb0="E00006FF" w:usb1="420024FF" w:usb2="02000000" w:usb3="00000000" w:csb0="0000019F" w:csb1="00000000"/>
    <w:embedRegular r:id="rId6" w:fontKey="{4D1223E6-B6A3-4EAF-857C-84AB83ACB36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30F34" w14:textId="77777777" w:rsidR="00666003" w:rsidRDefault="005E2A6E">
    <w:pPr>
      <w:pBdr>
        <w:top w:val="nil"/>
        <w:left w:val="nil"/>
        <w:bottom w:val="nil"/>
        <w:right w:val="nil"/>
        <w:between w:val="nil"/>
      </w:pBdr>
      <w:tabs>
        <w:tab w:val="center" w:pos="4536"/>
        <w:tab w:val="right" w:pos="9072"/>
      </w:tabs>
      <w:rPr>
        <w:color w:val="000000"/>
      </w:rPr>
    </w:pPr>
    <w:r>
      <w:rPr>
        <w:noProof/>
      </w:rPr>
      <mc:AlternateContent>
        <mc:Choice Requires="wps">
          <w:drawing>
            <wp:anchor distT="0" distB="0" distL="0" distR="0" simplePos="0" relativeHeight="251656704" behindDoc="1" locked="0" layoutInCell="1" hidden="0" allowOverlap="1" wp14:anchorId="5846A02F" wp14:editId="287C13CA">
              <wp:simplePos x="0" y="0"/>
              <wp:positionH relativeFrom="column">
                <wp:posOffset>-9522</wp:posOffset>
              </wp:positionH>
              <wp:positionV relativeFrom="paragraph">
                <wp:posOffset>9566275</wp:posOffset>
              </wp:positionV>
              <wp:extent cx="3580635" cy="436755"/>
              <wp:effectExtent l="0" t="0" r="0" b="0"/>
              <wp:wrapNone/>
              <wp:docPr id="15" name="Prostokąt 15"/>
              <wp:cNvGraphicFramePr/>
              <a:graphic xmlns:a="http://schemas.openxmlformats.org/drawingml/2006/main">
                <a:graphicData uri="http://schemas.microsoft.com/office/word/2010/wordprocessingShape">
                  <wps:wsp>
                    <wps:cNvSpPr/>
                    <wps:spPr>
                      <a:xfrm>
                        <a:off x="3589020" y="3594960"/>
                        <a:ext cx="3513960" cy="370080"/>
                      </a:xfrm>
                      <a:prstGeom prst="rect">
                        <a:avLst/>
                      </a:prstGeom>
                      <a:noFill/>
                      <a:ln>
                        <a:noFill/>
                      </a:ln>
                    </wps:spPr>
                    <wps:txbx>
                      <w:txbxContent>
                        <w:p w14:paraId="5C84D215" w14:textId="77777777" w:rsidR="00666003" w:rsidRDefault="005E2A6E">
                          <w:pPr>
                            <w:spacing w:line="275" w:lineRule="auto"/>
                            <w:textDirection w:val="btLr"/>
                          </w:pPr>
                          <w:proofErr w:type="spellStart"/>
                          <w:r>
                            <w:rPr>
                              <w:color w:val="000000"/>
                              <w:sz w:val="14"/>
                            </w:rPr>
                            <w:t>Uniwersytet</w:t>
                          </w:r>
                          <w:proofErr w:type="spellEnd"/>
                          <w:r>
                            <w:rPr>
                              <w:color w:val="000000"/>
                              <w:sz w:val="14"/>
                            </w:rPr>
                            <w:t xml:space="preserve"> SWPS</w:t>
                          </w:r>
                        </w:p>
                        <w:p w14:paraId="6E7C48B7" w14:textId="77777777" w:rsidR="00666003" w:rsidRDefault="005E2A6E">
                          <w:pPr>
                            <w:spacing w:line="275" w:lineRule="auto"/>
                            <w:textDirection w:val="btLr"/>
                          </w:pPr>
                          <w:r>
                            <w:rPr>
                              <w:color w:val="000000"/>
                              <w:sz w:val="14"/>
                            </w:rPr>
                            <w:t xml:space="preserve">ul. </w:t>
                          </w:r>
                          <w:proofErr w:type="spellStart"/>
                          <w:r>
                            <w:rPr>
                              <w:color w:val="000000"/>
                              <w:sz w:val="14"/>
                            </w:rPr>
                            <w:t>Chodakowska</w:t>
                          </w:r>
                          <w:proofErr w:type="spellEnd"/>
                          <w:r>
                            <w:rPr>
                              <w:color w:val="000000"/>
                              <w:sz w:val="14"/>
                            </w:rPr>
                            <w:t xml:space="preserve"> 19/31, 03-815 Warszawa</w:t>
                          </w:r>
                        </w:p>
                      </w:txbxContent>
                    </wps:txbx>
                    <wps:bodyPr spcFirstLastPara="1" wrap="square" lIns="0" tIns="0" rIns="0" bIns="0" anchor="b" anchorCtr="0">
                      <a:noAutofit/>
                    </wps:bodyPr>
                  </wps:wsp>
                </a:graphicData>
              </a:graphic>
            </wp:anchor>
          </w:drawing>
        </mc:Choice>
        <mc:Fallback>
          <w:pict>
            <v:rect w14:anchorId="5846A02F" id="Prostokąt 15" o:spid="_x0000_s1026" style="position:absolute;margin-left:-.75pt;margin-top:753.25pt;width:281.95pt;height:34.4pt;z-index:-251659776;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" filled="f" stroked="f">
              <v:textbox inset="0,0,0,0">
                <w:txbxContent>
                  <w:p w14:paraId="5C84D215" w14:textId="77777777" w:rsidR="00666003" w:rsidRDefault="005E2A6E">
                    <w:pPr>
                      <w:spacing w:line="275" w:lineRule="auto"/>
                      <w:textDirection w:val="btLr"/>
                    </w:pPr>
                    <w:proofErr w:type="spellStart"/>
                    <w:r>
                      <w:rPr>
                        <w:color w:val="000000"/>
                        <w:sz w:val="14"/>
                      </w:rPr>
                      <w:t>Uniwersytet</w:t>
                    </w:r>
                    <w:proofErr w:type="spellEnd"/>
                    <w:r>
                      <w:rPr>
                        <w:color w:val="000000"/>
                        <w:sz w:val="14"/>
                      </w:rPr>
                      <w:t xml:space="preserve"> SWPS</w:t>
                    </w:r>
                  </w:p>
                  <w:p w14:paraId="6E7C48B7" w14:textId="77777777" w:rsidR="00666003" w:rsidRDefault="005E2A6E">
                    <w:pPr>
                      <w:spacing w:line="275" w:lineRule="auto"/>
                      <w:textDirection w:val="btLr"/>
                    </w:pPr>
                    <w:r>
                      <w:rPr>
                        <w:color w:val="000000"/>
                        <w:sz w:val="14"/>
                      </w:rPr>
                      <w:t xml:space="preserve">ul. </w:t>
                    </w:r>
                    <w:proofErr w:type="spellStart"/>
                    <w:r>
                      <w:rPr>
                        <w:color w:val="000000"/>
                        <w:sz w:val="14"/>
                      </w:rPr>
                      <w:t>Chodakowska</w:t>
                    </w:r>
                    <w:proofErr w:type="spellEnd"/>
                    <w:r>
                      <w:rPr>
                        <w:color w:val="000000"/>
                        <w:sz w:val="14"/>
                      </w:rPr>
                      <w:t xml:space="preserve"> 19/31, 03-815 Warszawa</w:t>
                    </w:r>
                  </w:p>
                </w:txbxContent>
              </v:textbox>
            </v:rect>
          </w:pict>
        </mc:Fallback>
      </mc:AlternateContent>
    </w:r>
    <w:r>
      <w:rPr>
        <w:noProof/>
      </w:rPr>
      <mc:AlternateContent>
        <mc:Choice Requires="wps">
          <w:drawing>
            <wp:anchor distT="0" distB="0" distL="0" distR="0" simplePos="0" relativeHeight="251657728" behindDoc="1" locked="0" layoutInCell="1" hidden="0" allowOverlap="1" wp14:anchorId="3B0FECF9" wp14:editId="6D02D5F6">
              <wp:simplePos x="0" y="0"/>
              <wp:positionH relativeFrom="column">
                <wp:posOffset>-911220</wp:posOffset>
              </wp:positionH>
              <wp:positionV relativeFrom="paragraph">
                <wp:posOffset>9820275</wp:posOffset>
              </wp:positionV>
              <wp:extent cx="968475" cy="186195"/>
              <wp:effectExtent l="0" t="0" r="0" b="0"/>
              <wp:wrapNone/>
              <wp:docPr id="16" name="Prostokąt 16"/>
              <wp:cNvGraphicFramePr/>
              <a:graphic xmlns:a="http://schemas.openxmlformats.org/drawingml/2006/main">
                <a:graphicData uri="http://schemas.microsoft.com/office/word/2010/wordprocessingShape">
                  <wps:wsp>
                    <wps:cNvSpPr/>
                    <wps:spPr>
                      <a:xfrm>
                        <a:off x="4895100" y="3720240"/>
                        <a:ext cx="901800" cy="119520"/>
                      </a:xfrm>
                      <a:prstGeom prst="rect">
                        <a:avLst/>
                      </a:prstGeom>
                      <a:noFill/>
                      <a:ln>
                        <a:noFill/>
                      </a:ln>
                    </wps:spPr>
                    <wps:txbx>
                      <w:txbxContent>
                        <w:p w14:paraId="316FB130" w14:textId="77777777" w:rsidR="00666003" w:rsidRDefault="005E2A6E">
                          <w:pPr>
                            <w:spacing w:before="20"/>
                            <w:ind w:left="20" w:firstLine="140"/>
                            <w:jc w:val="right"/>
                            <w:textDirection w:val="btLr"/>
                          </w:pPr>
                          <w:r>
                            <w:rPr>
                              <w:b/>
                              <w:color w:val="000000"/>
                              <w:sz w:val="14"/>
                            </w:rPr>
                            <w:t>www.swps.pl</w:t>
                          </w:r>
                        </w:p>
                      </w:txbxContent>
                    </wps:txbx>
                    <wps:bodyPr spcFirstLastPara="1" wrap="square" lIns="0" tIns="0" rIns="0" bIns="0" anchor="b" anchorCtr="0">
                      <a:noAutofit/>
                    </wps:bodyPr>
                  </wps:wsp>
                </a:graphicData>
              </a:graphic>
            </wp:anchor>
          </w:drawing>
        </mc:Choice>
        <mc:Fallback>
          <w:pict>
            <v:rect w14:anchorId="3B0FECF9" id="Prostokąt 16" o:spid="_x0000_s1027" style="position:absolute;margin-left:-71.75pt;margin-top:773.25pt;width:76.25pt;height:14.65pt;z-index:-251658752;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" filled="f" stroked="f">
              <v:textbox inset="0,0,0,0">
                <w:txbxContent>
                  <w:p w14:paraId="316FB130" w14:textId="77777777" w:rsidR="00666003" w:rsidRDefault="005E2A6E">
                    <w:pPr>
                      <w:spacing w:before="20"/>
                      <w:ind w:left="20" w:firstLine="140"/>
                      <w:jc w:val="right"/>
                      <w:textDirection w:val="btLr"/>
                    </w:pPr>
                    <w:r>
                      <w:rPr>
                        <w:b/>
                        <w:color w:val="000000"/>
                        <w:sz w:val="14"/>
                      </w:rPr>
                      <w:t>www.swps.pl</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76851C" w14:textId="77777777" w:rsidR="005E2A6E" w:rsidRDefault="005E2A6E">
      <w:r>
        <w:separator/>
      </w:r>
    </w:p>
  </w:footnote>
  <w:footnote w:type="continuationSeparator" w:id="0">
    <w:p w14:paraId="73BD97C2" w14:textId="77777777" w:rsidR="005E2A6E" w:rsidRDefault="005E2A6E">
      <w:r>
        <w:continuationSeparator/>
      </w:r>
    </w:p>
  </w:footnote>
  <w:footnote w:id="1">
    <w:p w14:paraId="77DF4E61" w14:textId="77777777" w:rsidR="00666003" w:rsidRPr="00CF30E6" w:rsidRDefault="005E2A6E">
      <w:pPr>
        <w:jc w:val="both"/>
        <w:rPr>
          <w:sz w:val="16"/>
          <w:szCs w:val="16"/>
          <w:lang w:val="pl-PL"/>
        </w:rPr>
      </w:pPr>
      <w:r>
        <w:rPr>
          <w:vertAlign w:val="superscript"/>
        </w:rPr>
        <w:footnoteRef/>
      </w:r>
      <w:r w:rsidRPr="00CF30E6">
        <w:rPr>
          <w:sz w:val="16"/>
          <w:szCs w:val="16"/>
          <w:lang w:val="pl-PL"/>
        </w:rPr>
        <w:t xml:space="preserve"> Future Ready Lawyer 2024, Innowacje prawnicze: wkroczyć w przyszłość czy zostać w tyle?, Raport Wolters Kluwer, 2024, s. 5, https://www.wolterskluwer.com/pl-pl/know/future-ready- lawyer-2024, dostęp: 5.02.2026 r.</w:t>
      </w:r>
    </w:p>
  </w:footnote>
  <w:footnote w:id="2">
    <w:p w14:paraId="4CCECEE2" w14:textId="77777777" w:rsidR="00666003" w:rsidRPr="00CF30E6" w:rsidRDefault="005E2A6E">
      <w:pPr>
        <w:rPr>
          <w:sz w:val="16"/>
          <w:szCs w:val="16"/>
          <w:lang w:val="pl-PL"/>
        </w:rPr>
      </w:pPr>
      <w:r>
        <w:rPr>
          <w:vertAlign w:val="superscript"/>
        </w:rPr>
        <w:footnoteRef/>
      </w:r>
      <w:r w:rsidRPr="00CF30E6">
        <w:rPr>
          <w:sz w:val="20"/>
          <w:szCs w:val="20"/>
          <w:lang w:val="pl-PL"/>
        </w:rPr>
        <w:t xml:space="preserve"> </w:t>
      </w:r>
      <w:r w:rsidRPr="00CF30E6">
        <w:rPr>
          <w:sz w:val="16"/>
          <w:szCs w:val="16"/>
          <w:lang w:val="pl-PL"/>
        </w:rPr>
        <w:t>Rzeczywista Roczna Stopa Oprocentowania.</w:t>
      </w:r>
    </w:p>
  </w:footnote>
  <w:footnote w:id="3">
    <w:p w14:paraId="34E38074" w14:textId="77777777" w:rsidR="00666003" w:rsidRPr="00CF30E6" w:rsidRDefault="005E2A6E">
      <w:pPr>
        <w:jc w:val="both"/>
        <w:rPr>
          <w:sz w:val="16"/>
          <w:szCs w:val="16"/>
          <w:lang w:val="pl-PL"/>
        </w:rPr>
      </w:pPr>
      <w:r>
        <w:rPr>
          <w:vertAlign w:val="superscript"/>
        </w:rPr>
        <w:footnoteRef/>
      </w:r>
      <w:r w:rsidRPr="00CF30E6">
        <w:rPr>
          <w:sz w:val="16"/>
          <w:szCs w:val="16"/>
          <w:lang w:val="pl-PL"/>
        </w:rPr>
        <w:t>https://serwisy.gazetaprawna.pl/orzeczeni</w:t>
      </w:r>
      <w:r w:rsidRPr="00CF30E6">
        <w:rPr>
          <w:sz w:val="16"/>
          <w:szCs w:val="16"/>
          <w:lang w:val="pl-PL"/>
        </w:rPr>
        <w:t>a/artykuly/10609233,sztuczna-inteligencja-juz-pomaga-w-postepowaniach-przed-sadem.html, dostęp: 5.02.2026 r.</w:t>
      </w:r>
    </w:p>
  </w:footnote>
  <w:footnote w:id="4">
    <w:p w14:paraId="16C3BF81" w14:textId="77777777" w:rsidR="00666003" w:rsidRDefault="005E2A6E">
      <w:pPr>
        <w:jc w:val="both"/>
        <w:rPr>
          <w:sz w:val="16"/>
          <w:szCs w:val="16"/>
        </w:rPr>
      </w:pPr>
      <w:r>
        <w:rPr>
          <w:vertAlign w:val="superscript"/>
        </w:rPr>
        <w:footnoteRef/>
      </w:r>
      <w:r>
        <w:rPr>
          <w:sz w:val="16"/>
          <w:szCs w:val="16"/>
        </w:rPr>
        <w:t xml:space="preserve"> E. M. Bender, T. </w:t>
      </w:r>
      <w:proofErr w:type="spellStart"/>
      <w:r>
        <w:rPr>
          <w:sz w:val="16"/>
          <w:szCs w:val="16"/>
        </w:rPr>
        <w:t>Gebru</w:t>
      </w:r>
      <w:proofErr w:type="spellEnd"/>
      <w:r>
        <w:rPr>
          <w:sz w:val="16"/>
          <w:szCs w:val="16"/>
        </w:rPr>
        <w:t xml:space="preserve">, A. McMillan-Major, S. </w:t>
      </w:r>
      <w:proofErr w:type="spellStart"/>
      <w:r>
        <w:rPr>
          <w:sz w:val="16"/>
          <w:szCs w:val="16"/>
        </w:rPr>
        <w:t>Shmitchell</w:t>
      </w:r>
      <w:proofErr w:type="spellEnd"/>
      <w:r>
        <w:rPr>
          <w:sz w:val="16"/>
          <w:szCs w:val="16"/>
        </w:rPr>
        <w:t>, On the Dangers of Stochastic Parrots: Can Language Models Be Too Big?, [w:] In Proceedi</w:t>
      </w:r>
      <w:r>
        <w:rPr>
          <w:sz w:val="16"/>
          <w:szCs w:val="16"/>
        </w:rPr>
        <w:t xml:space="preserve">ngs of the 2021 ACM Conference on Fairness, Accountability, and Transparency, </w:t>
      </w:r>
      <w:proofErr w:type="spellStart"/>
      <w:r>
        <w:rPr>
          <w:sz w:val="16"/>
          <w:szCs w:val="16"/>
        </w:rPr>
        <w:t>FAccT</w:t>
      </w:r>
      <w:proofErr w:type="spellEnd"/>
      <w:r>
        <w:rPr>
          <w:sz w:val="16"/>
          <w:szCs w:val="16"/>
        </w:rPr>
        <w:t xml:space="preserve"> 2021, s. 610–623, https://doi.org/10.1145/3442188.3445922. </w:t>
      </w:r>
    </w:p>
  </w:footnote>
  <w:footnote w:id="5">
    <w:p w14:paraId="6E9677C6" w14:textId="77777777" w:rsidR="00666003" w:rsidRPr="00CF30E6" w:rsidRDefault="005E2A6E">
      <w:pPr>
        <w:jc w:val="both"/>
        <w:rPr>
          <w:sz w:val="16"/>
          <w:szCs w:val="16"/>
          <w:lang w:val="pl-PL"/>
        </w:rPr>
      </w:pPr>
      <w:r>
        <w:rPr>
          <w:vertAlign w:val="superscript"/>
        </w:rPr>
        <w:footnoteRef/>
      </w:r>
      <w:r w:rsidRPr="00CF30E6">
        <w:rPr>
          <w:sz w:val="16"/>
          <w:szCs w:val="16"/>
          <w:lang w:val="pl-PL"/>
        </w:rPr>
        <w:t xml:space="preserve"> </w:t>
      </w:r>
      <w:r w:rsidRPr="00CF30E6">
        <w:rPr>
          <w:sz w:val="16"/>
          <w:szCs w:val="16"/>
          <w:lang w:val="pl-PL"/>
        </w:rPr>
        <w:t>Badacze skonstruowali zestaw zadań o różnym stopniu złożoności, od prostych pytań (np. o autora orzeczenia) po</w:t>
      </w:r>
      <w:r w:rsidRPr="00CF30E6">
        <w:rPr>
          <w:sz w:val="16"/>
          <w:szCs w:val="16"/>
          <w:lang w:val="pl-PL"/>
        </w:rPr>
        <w:t xml:space="preserve"> bardziej skomplikowane (np. ocena relacji precedensowej między dwoma sprawami). Przetestowano ponad 200 000 zapytań na trzech modelach językowych: GPT-3.5, Llama 2 oraz PaLM 2, uwzględniając różne wymiary analizy (poziom sądu, złożoność zadania, okres cza</w:t>
      </w:r>
      <w:r w:rsidRPr="00CF30E6">
        <w:rPr>
          <w:sz w:val="16"/>
          <w:szCs w:val="16"/>
          <w:lang w:val="pl-PL"/>
        </w:rPr>
        <w:t>sowy), https://hai.stanford.edu/news/hallucinating-law-legal-mistakes-large-language-models-are-pervasive, dostęp: 5.02.2026 r.</w:t>
      </w:r>
    </w:p>
  </w:footnote>
  <w:footnote w:id="6">
    <w:p w14:paraId="1D7DE4D0" w14:textId="77777777" w:rsidR="00666003" w:rsidRDefault="005E2A6E">
      <w:pPr>
        <w:jc w:val="both"/>
        <w:rPr>
          <w:sz w:val="16"/>
          <w:szCs w:val="16"/>
        </w:rPr>
      </w:pPr>
      <w:r>
        <w:rPr>
          <w:vertAlign w:val="superscript"/>
        </w:rPr>
        <w:footnoteRef/>
      </w:r>
      <w:r>
        <w:rPr>
          <w:sz w:val="20"/>
          <w:szCs w:val="20"/>
        </w:rPr>
        <w:t xml:space="preserve"> </w:t>
      </w:r>
      <w:r>
        <w:rPr>
          <w:sz w:val="16"/>
          <w:szCs w:val="16"/>
        </w:rPr>
        <w:t>LexisNexis Launches Lexis+ AI, a Generative AI Solution with Hallucination-Free Linked Legal Citations, https:/</w:t>
      </w:r>
      <w:r>
        <w:rPr>
          <w:sz w:val="16"/>
          <w:szCs w:val="16"/>
        </w:rPr>
        <w:t xml:space="preserve">/www.lexisnexis.com/community/pressroom/b/news/posts/lexisnexis-launches-lexis-ai-a-generative-ai-solution-with-hallucination-free-linked-legal-citations, </w:t>
      </w:r>
      <w:proofErr w:type="spellStart"/>
      <w:r>
        <w:rPr>
          <w:sz w:val="16"/>
          <w:szCs w:val="16"/>
        </w:rPr>
        <w:t>dostęp</w:t>
      </w:r>
      <w:proofErr w:type="spellEnd"/>
      <w:r>
        <w:rPr>
          <w:sz w:val="16"/>
          <w:szCs w:val="16"/>
        </w:rPr>
        <w:t>: 5.02.2026 r.</w:t>
      </w:r>
    </w:p>
  </w:footnote>
  <w:footnote w:id="7">
    <w:p w14:paraId="01BFB909" w14:textId="77777777" w:rsidR="00666003" w:rsidRDefault="005E2A6E">
      <w:pPr>
        <w:rPr>
          <w:sz w:val="16"/>
          <w:szCs w:val="16"/>
        </w:rPr>
      </w:pPr>
      <w:r>
        <w:rPr>
          <w:vertAlign w:val="superscript"/>
        </w:rPr>
        <w:footnoteRef/>
      </w:r>
      <w:r>
        <w:rPr>
          <w:sz w:val="20"/>
          <w:szCs w:val="20"/>
        </w:rPr>
        <w:t xml:space="preserve"> </w:t>
      </w:r>
      <w:r>
        <w:rPr>
          <w:sz w:val="16"/>
          <w:szCs w:val="16"/>
        </w:rPr>
        <w:t xml:space="preserve">J. Ju, Retrieval-augmented generation in legal tech, https://legal.thomsonreuters.com/blog/retrieval-augmented-generation-in-legal-tech/, </w:t>
      </w:r>
      <w:proofErr w:type="spellStart"/>
      <w:r>
        <w:rPr>
          <w:sz w:val="16"/>
          <w:szCs w:val="16"/>
        </w:rPr>
        <w:t>dostęp</w:t>
      </w:r>
      <w:proofErr w:type="spellEnd"/>
      <w:r>
        <w:rPr>
          <w:sz w:val="16"/>
          <w:szCs w:val="16"/>
        </w:rPr>
        <w:t>: 5.02.2026 r.</w:t>
      </w:r>
    </w:p>
  </w:footnote>
  <w:footnote w:id="8">
    <w:p w14:paraId="332A4DF6" w14:textId="77777777" w:rsidR="00666003" w:rsidRDefault="005E2A6E">
      <w:pPr>
        <w:jc w:val="both"/>
        <w:rPr>
          <w:sz w:val="16"/>
          <w:szCs w:val="16"/>
        </w:rPr>
      </w:pPr>
      <w:r>
        <w:rPr>
          <w:vertAlign w:val="superscript"/>
        </w:rPr>
        <w:footnoteRef/>
      </w:r>
      <w:r>
        <w:rPr>
          <w:sz w:val="20"/>
          <w:szCs w:val="20"/>
        </w:rPr>
        <w:t xml:space="preserve"> </w:t>
      </w:r>
      <w:r>
        <w:rPr>
          <w:sz w:val="16"/>
          <w:szCs w:val="16"/>
        </w:rPr>
        <w:t xml:space="preserve">M. Dahl, V. Magesh, F. </w:t>
      </w:r>
      <w:proofErr w:type="spellStart"/>
      <w:r>
        <w:rPr>
          <w:sz w:val="16"/>
          <w:szCs w:val="16"/>
        </w:rPr>
        <w:t>Surani</w:t>
      </w:r>
      <w:proofErr w:type="spellEnd"/>
      <w:r>
        <w:rPr>
          <w:sz w:val="16"/>
          <w:szCs w:val="16"/>
        </w:rPr>
        <w:t>, D. E. Ho, Hallucination-Free? Assessing the Reliability of Leadi</w:t>
      </w:r>
      <w:r>
        <w:rPr>
          <w:sz w:val="16"/>
          <w:szCs w:val="16"/>
        </w:rPr>
        <w:t>ng AI Legal Research Tools, “Journal of Empirical Legal Studies” 2025, vol. 22, s.216-242, https://doi.org/10.1111/jels.12413</w:t>
      </w:r>
    </w:p>
  </w:footnote>
  <w:footnote w:id="9">
    <w:p w14:paraId="78FD98FA" w14:textId="77777777" w:rsidR="00666003" w:rsidRPr="00CF30E6" w:rsidRDefault="005E2A6E">
      <w:pPr>
        <w:rPr>
          <w:sz w:val="16"/>
          <w:szCs w:val="16"/>
          <w:lang w:val="pl-PL"/>
        </w:rPr>
      </w:pPr>
      <w:r>
        <w:rPr>
          <w:vertAlign w:val="superscript"/>
        </w:rPr>
        <w:footnoteRef/>
      </w:r>
      <w:r w:rsidRPr="00CF30E6">
        <w:rPr>
          <w:sz w:val="20"/>
          <w:szCs w:val="20"/>
          <w:lang w:val="pl-PL"/>
        </w:rPr>
        <w:t xml:space="preserve"> </w:t>
      </w:r>
      <w:r w:rsidRPr="00CF30E6">
        <w:rPr>
          <w:sz w:val="16"/>
          <w:szCs w:val="16"/>
          <w:lang w:val="pl-PL"/>
        </w:rPr>
        <w:t>T. Prus, Halucynacje AI: nowe wyzwanie dla prawników, https://legalinn.pl/2025/12/22/halucynacje-ai-nowe-wyzwanie-dla-prawnikow/</w:t>
      </w:r>
      <w:r w:rsidRPr="00CF30E6">
        <w:rPr>
          <w:sz w:val="16"/>
          <w:szCs w:val="16"/>
          <w:lang w:val="pl-PL"/>
        </w:rPr>
        <w:t>#:~:text=Niestety%2C%20modelom%20AI%20zdarza%20si%C4%99,odpowiedzi, dostęp: 5.02.2026 r.</w:t>
      </w:r>
    </w:p>
  </w:footnote>
  <w:footnote w:id="10">
    <w:p w14:paraId="33E2B205" w14:textId="77777777" w:rsidR="00666003" w:rsidRPr="00CF30E6" w:rsidRDefault="005E2A6E">
      <w:pPr>
        <w:rPr>
          <w:sz w:val="16"/>
          <w:szCs w:val="16"/>
          <w:lang w:val="pl-PL"/>
        </w:rPr>
      </w:pPr>
      <w:r>
        <w:rPr>
          <w:vertAlign w:val="superscript"/>
        </w:rPr>
        <w:footnoteRef/>
      </w:r>
      <w:r w:rsidRPr="00CF30E6">
        <w:rPr>
          <w:sz w:val="20"/>
          <w:szCs w:val="20"/>
          <w:lang w:val="pl-PL"/>
        </w:rPr>
        <w:t xml:space="preserve"> </w:t>
      </w:r>
      <w:r w:rsidRPr="00CF30E6">
        <w:rPr>
          <w:sz w:val="16"/>
          <w:szCs w:val="16"/>
          <w:lang w:val="pl-PL"/>
        </w:rPr>
        <w:t>KIRP, Rekomendacje KIRP dotyczące korzystania z narzędzi opartych na sztucznej inteligencji przez radców prawnych, https://oir</w:t>
      </w:r>
      <w:r w:rsidRPr="00CF30E6">
        <w:rPr>
          <w:sz w:val="16"/>
          <w:szCs w:val="16"/>
          <w:lang w:val="pl-PL"/>
        </w:rPr>
        <w:t>p.wroclaw.pl/rekomendacje-kirp-dotyczaca-korzystania-z-narzedzi-opartych-na-sztucznej-inteligencji-przez-radcow-prawnych, dostęp: 5.02.2026 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71CED" w14:textId="77777777" w:rsidR="00666003" w:rsidRDefault="005E2A6E">
    <w:pPr>
      <w:pBdr>
        <w:top w:val="nil"/>
        <w:left w:val="nil"/>
        <w:bottom w:val="nil"/>
        <w:right w:val="nil"/>
        <w:between w:val="nil"/>
      </w:pBdr>
      <w:tabs>
        <w:tab w:val="center" w:pos="4536"/>
        <w:tab w:val="right" w:pos="9072"/>
      </w:tabs>
      <w:rPr>
        <w:color w:val="000000"/>
      </w:rPr>
    </w:pPr>
    <w:r>
      <w:rPr>
        <w:color w:val="000000"/>
      </w:rPr>
      <w:pict w14:anchorId="153145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625.15pt;z-index:-251656704;mso-position-horizontal:center;mso-position-horizontal-relative:margin;mso-position-vertical:center;mso-position-vertical-relative:margin">
          <v:imagedata r:id="rId1" o:title="image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BC9DF" w14:textId="77777777" w:rsidR="00666003" w:rsidRDefault="005E2A6E">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55680" behindDoc="1" locked="0" layoutInCell="1" hidden="0" allowOverlap="1" wp14:anchorId="1E35CB1C" wp14:editId="10BDB147">
          <wp:simplePos x="0" y="0"/>
          <wp:positionH relativeFrom="page">
            <wp:align>center</wp:align>
          </wp:positionH>
          <wp:positionV relativeFrom="page">
            <wp:align>center</wp:align>
          </wp:positionV>
          <wp:extent cx="7556760" cy="10692000"/>
          <wp:effectExtent l="0" t="0" r="0" b="0"/>
          <wp:wrapNone/>
          <wp:docPr id="1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556760" cy="106920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F6FD2" w14:textId="77777777" w:rsidR="00666003" w:rsidRDefault="005E2A6E">
    <w:pPr>
      <w:pBdr>
        <w:top w:val="nil"/>
        <w:left w:val="nil"/>
        <w:bottom w:val="nil"/>
        <w:right w:val="nil"/>
        <w:between w:val="nil"/>
      </w:pBdr>
      <w:tabs>
        <w:tab w:val="center" w:pos="4536"/>
        <w:tab w:val="right" w:pos="9072"/>
      </w:tabs>
      <w:rPr>
        <w:color w:val="000000"/>
      </w:rPr>
    </w:pPr>
    <w:r>
      <w:rPr>
        <w:color w:val="000000"/>
      </w:rPr>
      <w:pict w14:anchorId="20D71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alt="" style="position:absolute;margin-left:0;margin-top:0;width:441.9pt;height:625.15pt;z-index:-251657728;mso-position-horizontal:center;mso-position-horizontal-relative:margin;mso-position-vertical:center;mso-position-vertical-relative:margin">
          <v:imagedata r:id="rId1" o:title="image2"/>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6003"/>
    <w:rsid w:val="005E2A6E"/>
    <w:rsid w:val="00666003"/>
    <w:rsid w:val="00CF30E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6E30336B"/>
  <w15:docId w15:val="{3473011E-8388-4FA9-A037-AD3F594D81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ontserrat" w:eastAsia="Montserrat" w:hAnsi="Montserrat" w:cs="Montserrat"/>
        <w:sz w:val="22"/>
        <w:szCs w:val="22"/>
        <w:lang w:val="en"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before="480" w:after="120"/>
      <w:outlineLvl w:val="0"/>
    </w:pPr>
    <w:rPr>
      <w:b/>
      <w:bCs/>
      <w:color w:val="000000"/>
      <w:sz w:val="48"/>
      <w:szCs w:val="48"/>
    </w:rPr>
  </w:style>
  <w:style w:type="paragraph" w:styleId="Nagwek2">
    <w:name w:val="heading 2"/>
    <w:basedOn w:val="Normalny"/>
    <w:next w:val="Normalny"/>
    <w:uiPriority w:val="9"/>
    <w:semiHidden/>
    <w:unhideWhenUsed/>
    <w:qFormat/>
    <w:pPr>
      <w:keepNext/>
      <w:keepLines/>
      <w:pBdr>
        <w:top w:val="nil"/>
        <w:left w:val="nil"/>
        <w:bottom w:val="nil"/>
        <w:right w:val="nil"/>
        <w:between w:val="nil"/>
      </w:pBdr>
      <w:spacing w:before="360" w:after="80"/>
      <w:outlineLvl w:val="1"/>
    </w:pPr>
    <w:rPr>
      <w:b/>
      <w:bCs/>
      <w:color w:val="000000"/>
      <w:sz w:val="36"/>
      <w:szCs w:val="36"/>
    </w:rPr>
  </w:style>
  <w:style w:type="paragraph" w:styleId="Nagwek3">
    <w:name w:val="heading 3"/>
    <w:basedOn w:val="Normalny"/>
    <w:next w:val="Normalny"/>
    <w:uiPriority w:val="9"/>
    <w:semiHidden/>
    <w:unhideWhenUsed/>
    <w:qFormat/>
    <w:pPr>
      <w:keepNext/>
      <w:keepLines/>
      <w:pBdr>
        <w:top w:val="nil"/>
        <w:left w:val="nil"/>
        <w:bottom w:val="nil"/>
        <w:right w:val="nil"/>
        <w:between w:val="nil"/>
      </w:pBdr>
      <w:spacing w:before="280" w:after="80"/>
      <w:outlineLvl w:val="2"/>
    </w:pPr>
    <w:rPr>
      <w:b/>
      <w:bCs/>
      <w:color w:val="000000"/>
      <w:sz w:val="28"/>
      <w:szCs w:val="28"/>
    </w:rPr>
  </w:style>
  <w:style w:type="paragraph" w:styleId="Nagwek4">
    <w:name w:val="heading 4"/>
    <w:basedOn w:val="Normalny"/>
    <w:next w:val="Normalny"/>
    <w:uiPriority w:val="9"/>
    <w:semiHidden/>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Nagwek5">
    <w:name w:val="heading 5"/>
    <w:basedOn w:val="Normalny"/>
    <w:next w:val="Normalny"/>
    <w:uiPriority w:val="9"/>
    <w:semiHidden/>
    <w:unhideWhenUsed/>
    <w:qFormat/>
    <w:pPr>
      <w:keepNext/>
      <w:keepLines/>
      <w:pBdr>
        <w:top w:val="nil"/>
        <w:left w:val="nil"/>
        <w:bottom w:val="nil"/>
        <w:right w:val="nil"/>
        <w:between w:val="nil"/>
      </w:pBdr>
      <w:spacing w:before="220" w:after="40"/>
      <w:outlineLvl w:val="4"/>
    </w:pPr>
    <w:rPr>
      <w:b/>
      <w:bCs/>
      <w:color w:val="000000"/>
    </w:rPr>
  </w:style>
  <w:style w:type="paragraph" w:styleId="Nagwek6">
    <w:name w:val="heading 6"/>
    <w:basedOn w:val="Normalny"/>
    <w:next w:val="Normalny"/>
    <w:uiPriority w:val="9"/>
    <w:semiHidden/>
    <w:unhideWhenUsed/>
    <w:qFormat/>
    <w:pPr>
      <w:keepNext/>
      <w:keepLines/>
      <w:pBdr>
        <w:top w:val="nil"/>
        <w:left w:val="nil"/>
        <w:bottom w:val="nil"/>
        <w:right w:val="nil"/>
        <w:between w:val="nil"/>
      </w:pBdr>
      <w:spacing w:before="200" w:after="40"/>
      <w:outlineLvl w:val="5"/>
    </w:pPr>
    <w:rPr>
      <w:b/>
      <w:bCs/>
      <w:color w:val="00000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before="25"/>
      <w:ind w:left="20"/>
    </w:pPr>
    <w:rPr>
      <w:rFonts w:ascii="Allura" w:eastAsia="Allura" w:hAnsi="Allura" w:cs="Allura"/>
      <w:sz w:val="59"/>
      <w:szCs w:val="59"/>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4pnppLHwsoZhACC1y35vfqUNGeQ==">CgMxLjA4AHIhMWdEVEJ4OGRudkNBbFVfTFlrWnRxdVRpRE5iOTRSV1pX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1296</Words>
  <Characters>7782</Characters>
  <Application>Microsoft Office Word</Application>
  <DocSecurity>0</DocSecurity>
  <Lines>64</Lines>
  <Paragraphs>18</Paragraphs>
  <ScaleCrop>false</ScaleCrop>
  <Company/>
  <LinksUpToDate>false</LinksUpToDate>
  <CharactersWithSpaces>9060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Beata Szauer</cp:lastModifiedBy>
  <cp:revision>2</cp:revision>
  <dcterms:created xsi:type="dcterms:W3CDTF">2026-02-16T13:02:00Z</dcterms:created>
  <dcterms:modified xsi:type="dcterms:W3CDTF">2026-02-16T13:02:00Z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2021-08-23T00:00:00Z</vt:lpwstr>
  </property>
  <property fmtid="{D5CDD505-2E9C-101B-9397-08002B2CF9AE}" pid="3" name="Creator">
    <vt:lpwstr>Adobe Illustrator 25.0 (Macintosh)</vt:lpwstr>
  </property>
  <property fmtid="{D5CDD505-2E9C-101B-9397-08002B2CF9AE}" pid="4" name="Created">
    <vt:lpwstr>2021-08-23T00:00:00Z</vt:lpwstr>
  </property>
</Properties>
</file>